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1E7C"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EFCC0C4" wp14:editId="217C17B1">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2B733783" w:rsidR="003B5733" w:rsidRPr="003B5733" w:rsidRDefault="00633879" w:rsidP="003B5733">
            <w:pPr>
              <w:pStyle w:val="Documenttitle"/>
            </w:pPr>
            <w:bookmarkStart w:id="0" w:name="_GoBack" w:colFirst="0" w:colLast="0"/>
            <w:r>
              <w:t>Centre for Victorian Data Linkage</w:t>
            </w:r>
          </w:p>
        </w:tc>
      </w:tr>
      <w:tr w:rsidR="003B5733" w14:paraId="1E97BDFA" w14:textId="77777777" w:rsidTr="005F44C0">
        <w:tc>
          <w:tcPr>
            <w:tcW w:w="0" w:type="auto"/>
          </w:tcPr>
          <w:p w14:paraId="23D4323B" w14:textId="2427FEBA" w:rsidR="003B5733" w:rsidRPr="00A1389F" w:rsidRDefault="00633879" w:rsidP="005F44C0">
            <w:pPr>
              <w:pStyle w:val="Documentsubtitle"/>
            </w:pPr>
            <w:r>
              <w:t>Virtual Machine access model</w:t>
            </w:r>
          </w:p>
        </w:tc>
      </w:tr>
      <w:bookmarkEnd w:id="0"/>
      <w:tr w:rsidR="003B5733" w14:paraId="01A0A997" w14:textId="77777777" w:rsidTr="005F44C0">
        <w:tc>
          <w:tcPr>
            <w:tcW w:w="0" w:type="auto"/>
          </w:tcPr>
          <w:p w14:paraId="3E5FF0AB" w14:textId="701F12C1" w:rsidR="003B5733" w:rsidRDefault="003B5733" w:rsidP="005F44C0">
            <w:pPr>
              <w:pStyle w:val="Bannermarking"/>
            </w:pPr>
          </w:p>
        </w:tc>
      </w:tr>
    </w:tbl>
    <w:p w14:paraId="0645478F" w14:textId="65642EEB" w:rsidR="007173CA" w:rsidRDefault="007173CA" w:rsidP="00D079AA">
      <w:pPr>
        <w:pStyle w:val="Body"/>
      </w:pPr>
    </w:p>
    <w:p w14:paraId="2AD7000F"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71B95D4" w14:textId="77777777" w:rsidR="00633879" w:rsidRPr="00B5064C" w:rsidRDefault="00633879" w:rsidP="00633879">
      <w:pPr>
        <w:pStyle w:val="Heading2"/>
        <w:rPr>
          <w:rFonts w:eastAsia="MS Gothic"/>
        </w:rPr>
      </w:pPr>
      <w:bookmarkStart w:id="1" w:name="_Toc440620741"/>
      <w:bookmarkStart w:id="2" w:name="_Hlk41913885"/>
      <w:r w:rsidRPr="00B5064C">
        <w:rPr>
          <w:rFonts w:eastAsia="MS Gothic"/>
        </w:rPr>
        <w:t xml:space="preserve">The </w:t>
      </w:r>
      <w:r w:rsidRPr="00B5064C">
        <w:rPr>
          <w:rFonts w:eastAsia="MS Gothic"/>
          <w:bCs/>
        </w:rPr>
        <w:t xml:space="preserve">CVDL </w:t>
      </w:r>
      <w:r>
        <w:rPr>
          <w:rFonts w:eastAsia="MS Gothic"/>
          <w:bCs/>
        </w:rPr>
        <w:t xml:space="preserve">data </w:t>
      </w:r>
      <w:r w:rsidRPr="00B5064C">
        <w:rPr>
          <w:rFonts w:eastAsia="MS Gothic"/>
        </w:rPr>
        <w:t xml:space="preserve">access model for linked data has changed </w:t>
      </w:r>
      <w:bookmarkEnd w:id="1"/>
    </w:p>
    <w:p w14:paraId="484F9D76" w14:textId="77777777" w:rsidR="00633879" w:rsidRPr="009D5C17" w:rsidRDefault="00633879" w:rsidP="00633879">
      <w:pPr>
        <w:spacing w:line="276" w:lineRule="auto"/>
        <w:rPr>
          <w:rFonts w:eastAsia="Times"/>
        </w:rPr>
      </w:pPr>
      <w:bookmarkStart w:id="3" w:name="_Toc410762196"/>
      <w:bookmarkStart w:id="4" w:name="_Toc440620742"/>
      <w:r>
        <w:rPr>
          <w:rFonts w:eastAsia="Times"/>
        </w:rPr>
        <w:t xml:space="preserve">The Centre for Victorian Data Linkage has developed a secure, online platform, </w:t>
      </w:r>
      <w:r w:rsidRPr="0071245F">
        <w:rPr>
          <w:rFonts w:eastAsia="Times"/>
        </w:rPr>
        <w:t>Victoria</w:t>
      </w:r>
      <w:r>
        <w:rPr>
          <w:rFonts w:eastAsia="Times"/>
        </w:rPr>
        <w:t>n</w:t>
      </w:r>
      <w:r w:rsidRPr="0071245F">
        <w:rPr>
          <w:rFonts w:eastAsia="Times"/>
        </w:rPr>
        <w:t xml:space="preserve"> data Access Linkage Trust</w:t>
      </w:r>
      <w:r>
        <w:rPr>
          <w:rFonts w:eastAsia="Times"/>
        </w:rPr>
        <w:t xml:space="preserve"> (VALT), for release and analysis of linked, de-identified data for approved projects. This platform has been in beta version for several months and has been used by selected linkage projects during the proof of concept phase. Feedback from our proof of concept users has been positive, indicating that the Virtual Machines (VMs) are powerful and suitable for undertaking complex analysis of large datasets.</w:t>
      </w:r>
    </w:p>
    <w:p w14:paraId="3158A198" w14:textId="77777777" w:rsidR="00633879" w:rsidRPr="009D5C17" w:rsidRDefault="00633879" w:rsidP="00633879">
      <w:pPr>
        <w:spacing w:line="276" w:lineRule="auto"/>
        <w:rPr>
          <w:rFonts w:eastAsia="Times"/>
        </w:rPr>
      </w:pPr>
      <w:r>
        <w:rPr>
          <w:rFonts w:eastAsia="Times"/>
        </w:rPr>
        <w:t>Once the VALT environment is fully operational, release of de-identified l</w:t>
      </w:r>
      <w:r w:rsidRPr="009D5C17">
        <w:rPr>
          <w:rFonts w:eastAsia="Times"/>
        </w:rPr>
        <w:t xml:space="preserve">inked data for approved </w:t>
      </w:r>
      <w:r>
        <w:rPr>
          <w:rFonts w:eastAsia="Times"/>
        </w:rPr>
        <w:t xml:space="preserve">research and government </w:t>
      </w:r>
      <w:r w:rsidRPr="009D5C17">
        <w:rPr>
          <w:rFonts w:eastAsia="Times"/>
        </w:rPr>
        <w:t>projects</w:t>
      </w:r>
      <w:r>
        <w:rPr>
          <w:rFonts w:eastAsia="Times"/>
        </w:rPr>
        <w:t xml:space="preserve"> will progressively take place via this secure environment</w:t>
      </w:r>
      <w:r w:rsidRPr="009D5C17">
        <w:rPr>
          <w:rFonts w:eastAsia="Times"/>
        </w:rPr>
        <w:t xml:space="preserve">. </w:t>
      </w:r>
      <w:r>
        <w:rPr>
          <w:rFonts w:eastAsia="Times"/>
        </w:rPr>
        <w:t>The CVDL will provide r</w:t>
      </w:r>
      <w:r w:rsidRPr="009D5C17">
        <w:rPr>
          <w:rFonts w:eastAsia="Times"/>
        </w:rPr>
        <w:t xml:space="preserve">esearchers with access to de-identified linked data within the </w:t>
      </w:r>
      <w:r>
        <w:rPr>
          <w:rFonts w:eastAsia="Times"/>
        </w:rPr>
        <w:t>secure cloud</w:t>
      </w:r>
      <w:r w:rsidRPr="009D5C17">
        <w:rPr>
          <w:rFonts w:eastAsia="Times"/>
        </w:rPr>
        <w:t xml:space="preserve"> environment </w:t>
      </w:r>
      <w:r>
        <w:rPr>
          <w:rFonts w:eastAsia="Times"/>
        </w:rPr>
        <w:t xml:space="preserve">with analysis </w:t>
      </w:r>
      <w:r w:rsidRPr="009D5C17">
        <w:rPr>
          <w:rFonts w:eastAsia="Times"/>
        </w:rPr>
        <w:t xml:space="preserve">undertaken via </w:t>
      </w:r>
      <w:r>
        <w:rPr>
          <w:rFonts w:eastAsia="Times"/>
        </w:rPr>
        <w:t>V</w:t>
      </w:r>
      <w:r w:rsidRPr="009D5C17">
        <w:rPr>
          <w:rFonts w:eastAsia="Times"/>
        </w:rPr>
        <w:t xml:space="preserve">irtual </w:t>
      </w:r>
      <w:r>
        <w:rPr>
          <w:rFonts w:eastAsia="Times"/>
        </w:rPr>
        <w:t>M</w:t>
      </w:r>
      <w:r w:rsidRPr="009D5C17">
        <w:rPr>
          <w:rFonts w:eastAsia="Times"/>
        </w:rPr>
        <w:t>achine</w:t>
      </w:r>
      <w:r>
        <w:rPr>
          <w:rFonts w:eastAsia="Times"/>
        </w:rPr>
        <w:t>s</w:t>
      </w:r>
      <w:r w:rsidRPr="009D5C17">
        <w:rPr>
          <w:rFonts w:eastAsia="Times"/>
        </w:rPr>
        <w:t xml:space="preserve">. </w:t>
      </w:r>
    </w:p>
    <w:p w14:paraId="303C0303" w14:textId="77777777" w:rsidR="00633879" w:rsidRDefault="00633879" w:rsidP="00633879">
      <w:pPr>
        <w:pStyle w:val="Heading2"/>
      </w:pPr>
      <w:r>
        <w:t>Why is the CVDL introducing this secure environment?</w:t>
      </w:r>
    </w:p>
    <w:p w14:paraId="094C45D0" w14:textId="77777777" w:rsidR="00633879" w:rsidRDefault="00633879" w:rsidP="00633879">
      <w:pPr>
        <w:keepNext/>
        <w:keepLines/>
        <w:spacing w:before="240" w:after="90" w:line="276" w:lineRule="auto"/>
        <w:outlineLvl w:val="1"/>
        <w:rPr>
          <w:bCs/>
        </w:rPr>
      </w:pPr>
      <w:r>
        <w:rPr>
          <w:bCs/>
        </w:rPr>
        <w:t>D</w:t>
      </w:r>
      <w:r w:rsidRPr="00D50FD1">
        <w:rPr>
          <w:bCs/>
        </w:rPr>
        <w:t>ata linkage authorities in Australia and internationally</w:t>
      </w:r>
      <w:r>
        <w:rPr>
          <w:bCs/>
        </w:rPr>
        <w:t xml:space="preserve"> already</w:t>
      </w:r>
      <w:r w:rsidRPr="00D50FD1">
        <w:rPr>
          <w:bCs/>
        </w:rPr>
        <w:t xml:space="preserve"> provide access to de</w:t>
      </w:r>
      <w:r>
        <w:rPr>
          <w:bCs/>
        </w:rPr>
        <w:t>-</w:t>
      </w:r>
      <w:r w:rsidRPr="00D50FD1">
        <w:rPr>
          <w:bCs/>
        </w:rPr>
        <w:t>identified linked data through a secure platform</w:t>
      </w:r>
      <w:r>
        <w:rPr>
          <w:bCs/>
        </w:rPr>
        <w:t xml:space="preserve"> instead of providing extracts directly to researchers, and </w:t>
      </w:r>
      <w:r w:rsidRPr="00C42A2C">
        <w:rPr>
          <w:bCs/>
        </w:rPr>
        <w:t xml:space="preserve">others are currently developing similar secure platforms. </w:t>
      </w:r>
      <w:r>
        <w:rPr>
          <w:bCs/>
        </w:rPr>
        <w:t xml:space="preserve"> The use of a secure platform such as VALT enables researchers to access linked de-identified data from their own computers while ensuring that the original data is securely held in the CVDL technical environment. </w:t>
      </w:r>
    </w:p>
    <w:p w14:paraId="4E1EE71F" w14:textId="77777777" w:rsidR="00633879" w:rsidRDefault="00633879" w:rsidP="00633879">
      <w:pPr>
        <w:keepNext/>
        <w:keepLines/>
        <w:spacing w:before="240" w:after="90" w:line="276" w:lineRule="auto"/>
        <w:outlineLvl w:val="1"/>
        <w:rPr>
          <w:bCs/>
        </w:rPr>
      </w:pPr>
      <w:r w:rsidRPr="00D50FD1">
        <w:rPr>
          <w:bCs/>
        </w:rPr>
        <w:t>The CVDL now routinely links 3</w:t>
      </w:r>
      <w:r>
        <w:rPr>
          <w:bCs/>
        </w:rPr>
        <w:t>5</w:t>
      </w:r>
      <w:r w:rsidRPr="00D50FD1">
        <w:rPr>
          <w:bCs/>
        </w:rPr>
        <w:t xml:space="preserve"> plus health, human services, justice and education datasets, and provision of data within a secure environment contributes to public and stakeholder confidence in</w:t>
      </w:r>
      <w:r>
        <w:rPr>
          <w:bCs/>
        </w:rPr>
        <w:t xml:space="preserve"> the security and appropriate</w:t>
      </w:r>
      <w:r w:rsidRPr="00D50FD1">
        <w:rPr>
          <w:bCs/>
        </w:rPr>
        <w:t xml:space="preserve"> </w:t>
      </w:r>
      <w:r>
        <w:rPr>
          <w:bCs/>
        </w:rPr>
        <w:t xml:space="preserve">use </w:t>
      </w:r>
      <w:r w:rsidRPr="00D50FD1">
        <w:rPr>
          <w:bCs/>
        </w:rPr>
        <w:t>of the data.</w:t>
      </w:r>
      <w:r>
        <w:rPr>
          <w:bCs/>
        </w:rPr>
        <w:t xml:space="preserve"> </w:t>
      </w:r>
    </w:p>
    <w:p w14:paraId="129570B3" w14:textId="77777777" w:rsidR="00633879" w:rsidRDefault="00633879" w:rsidP="00633879">
      <w:pPr>
        <w:keepNext/>
        <w:keepLines/>
        <w:spacing w:before="240" w:after="90" w:line="276" w:lineRule="auto"/>
        <w:outlineLvl w:val="1"/>
        <w:rPr>
          <w:bCs/>
        </w:rPr>
      </w:pPr>
      <w:r>
        <w:rPr>
          <w:bCs/>
        </w:rPr>
        <w:t>The CVDL typically provides research extracts at a unit record level to enable detailed analysis.  While these extracts are de-identified, there remains a risk of re-identification. The CVDL recognises that, depending on the number of linked datasets and data elements provided, data extracts may never be truly protected from re-identification.</w:t>
      </w:r>
    </w:p>
    <w:p w14:paraId="0A112DBD" w14:textId="77777777" w:rsidR="00633879" w:rsidRPr="00D50FD1" w:rsidRDefault="00633879" w:rsidP="00633879">
      <w:pPr>
        <w:keepNext/>
        <w:keepLines/>
        <w:spacing w:before="240" w:after="90" w:line="276" w:lineRule="auto"/>
        <w:outlineLvl w:val="1"/>
        <w:rPr>
          <w:bCs/>
        </w:rPr>
      </w:pPr>
      <w:r>
        <w:rPr>
          <w:bCs/>
        </w:rPr>
        <w:t xml:space="preserve">It is expected that VALT will </w:t>
      </w:r>
      <w:r w:rsidRPr="00D50FD1">
        <w:rPr>
          <w:bCs/>
        </w:rPr>
        <w:t>facilitat</w:t>
      </w:r>
      <w:r>
        <w:rPr>
          <w:bCs/>
        </w:rPr>
        <w:t>e</w:t>
      </w:r>
      <w:r w:rsidRPr="00D50FD1">
        <w:rPr>
          <w:bCs/>
        </w:rPr>
        <w:t xml:space="preserve"> </w:t>
      </w:r>
      <w:r>
        <w:rPr>
          <w:bCs/>
        </w:rPr>
        <w:t xml:space="preserve">a higher level of </w:t>
      </w:r>
      <w:r w:rsidRPr="00D50FD1">
        <w:rPr>
          <w:bCs/>
        </w:rPr>
        <w:t>compliance with privacy legislation and information management standards</w:t>
      </w:r>
      <w:r>
        <w:rPr>
          <w:bCs/>
        </w:rPr>
        <w:t xml:space="preserve"> than has previously been possible</w:t>
      </w:r>
      <w:r w:rsidRPr="00D50FD1">
        <w:rPr>
          <w:bCs/>
        </w:rPr>
        <w:t xml:space="preserve">. </w:t>
      </w:r>
      <w:r>
        <w:rPr>
          <w:bCs/>
        </w:rPr>
        <w:t xml:space="preserve">This reflects that the </w:t>
      </w:r>
      <w:r w:rsidRPr="00D50FD1">
        <w:rPr>
          <w:bCs/>
        </w:rPr>
        <w:t xml:space="preserve">linked data asset held by the CVDL is </w:t>
      </w:r>
      <w:r>
        <w:rPr>
          <w:bCs/>
        </w:rPr>
        <w:t>currently</w:t>
      </w:r>
      <w:r w:rsidRPr="00D50FD1">
        <w:rPr>
          <w:bCs/>
        </w:rPr>
        <w:t xml:space="preserve"> much larger and more complex than in the early days of </w:t>
      </w:r>
      <w:r>
        <w:rPr>
          <w:bCs/>
        </w:rPr>
        <w:t xml:space="preserve">the CVDL </w:t>
      </w:r>
      <w:r w:rsidRPr="00D50FD1">
        <w:rPr>
          <w:bCs/>
        </w:rPr>
        <w:t>operations</w:t>
      </w:r>
      <w:r>
        <w:rPr>
          <w:bCs/>
        </w:rPr>
        <w:t>, and is consistent with public expectations regarding security of detailed person-level data assets</w:t>
      </w:r>
      <w:r w:rsidRPr="00D50FD1">
        <w:rPr>
          <w:bCs/>
        </w:rPr>
        <w:t xml:space="preserve">. </w:t>
      </w:r>
    </w:p>
    <w:p w14:paraId="501473AA" w14:textId="77777777" w:rsidR="00633879" w:rsidRPr="009D5C17" w:rsidRDefault="00633879" w:rsidP="00633879">
      <w:pPr>
        <w:pStyle w:val="Heading2"/>
      </w:pPr>
      <w:r w:rsidRPr="009D5C17">
        <w:t>H</w:t>
      </w:r>
      <w:bookmarkEnd w:id="3"/>
      <w:bookmarkEnd w:id="4"/>
      <w:r w:rsidRPr="009D5C17">
        <w:t>ow secure is the</w:t>
      </w:r>
      <w:r>
        <w:t xml:space="preserve"> platform</w:t>
      </w:r>
      <w:r w:rsidRPr="009D5C17">
        <w:t>?</w:t>
      </w:r>
    </w:p>
    <w:p w14:paraId="3BA62FF4" w14:textId="77777777" w:rsidR="00633879" w:rsidRPr="009D5C17" w:rsidRDefault="00633879" w:rsidP="00633879">
      <w:pPr>
        <w:spacing w:line="270" w:lineRule="atLeast"/>
        <w:rPr>
          <w:rFonts w:eastAsia="Times"/>
        </w:rPr>
      </w:pPr>
      <w:r w:rsidRPr="009D5C17">
        <w:rPr>
          <w:rFonts w:eastAsia="Times"/>
        </w:rPr>
        <w:t xml:space="preserve">The Microsoft Azure platform that the CVDL uses is very secure. The Azure cloud environment has </w:t>
      </w:r>
      <w:r>
        <w:rPr>
          <w:rFonts w:eastAsia="Times"/>
        </w:rPr>
        <w:t>been certified up to “Protected”</w:t>
      </w:r>
      <w:r w:rsidRPr="009D5C17">
        <w:rPr>
          <w:rFonts w:eastAsia="Times"/>
        </w:rPr>
        <w:t xml:space="preserve"> </w:t>
      </w:r>
      <w:r>
        <w:rPr>
          <w:rFonts w:eastAsia="Times"/>
        </w:rPr>
        <w:t xml:space="preserve">by </w:t>
      </w:r>
      <w:r w:rsidRPr="009D5C17">
        <w:rPr>
          <w:rFonts w:eastAsia="Times"/>
        </w:rPr>
        <w:t>the Information Security Registered Assessors Program (IRAP) of the Commonwealth. The IRAP is an Australian Signals Directorate (ASD) initiative to provide high-quality information and communications technology (ICT) services to government in support of Australia's security.</w:t>
      </w:r>
    </w:p>
    <w:p w14:paraId="718A6C65" w14:textId="77777777" w:rsidR="00633879" w:rsidRPr="009D5C17" w:rsidRDefault="00633879" w:rsidP="00633879">
      <w:pPr>
        <w:pStyle w:val="Heading2"/>
      </w:pPr>
      <w:r w:rsidRPr="009D5C17">
        <w:lastRenderedPageBreak/>
        <w:t xml:space="preserve">How </w:t>
      </w:r>
      <w:r>
        <w:t>will</w:t>
      </w:r>
      <w:r w:rsidRPr="009D5C17">
        <w:t xml:space="preserve"> I access the </w:t>
      </w:r>
      <w:r>
        <w:t xml:space="preserve">linked </w:t>
      </w:r>
      <w:r w:rsidRPr="009D5C17">
        <w:t>data?</w:t>
      </w:r>
    </w:p>
    <w:p w14:paraId="666D46D7" w14:textId="1948D89B" w:rsidR="00633879" w:rsidRDefault="00633879" w:rsidP="00633879">
      <w:pPr>
        <w:spacing w:line="276" w:lineRule="auto"/>
        <w:rPr>
          <w:rFonts w:eastAsia="Times"/>
        </w:rPr>
      </w:pPr>
      <w:r>
        <w:rPr>
          <w:rFonts w:eastAsia="Times"/>
        </w:rPr>
        <w:t xml:space="preserve">Researchers with an approved CVDL’s linkage project apply for access to a project VM by completing the Virtual Machine Application form (Appendix 1) and submitting the request to </w:t>
      </w:r>
      <w:hyperlink r:id="rId16" w:history="1">
        <w:r w:rsidRPr="00D36C95">
          <w:rPr>
            <w:rStyle w:val="Hyperlink"/>
            <w:rFonts w:eastAsia="Times"/>
          </w:rPr>
          <w:t>cvdl@health.vic.gov.au</w:t>
        </w:r>
      </w:hyperlink>
      <w:r>
        <w:rPr>
          <w:rFonts w:eastAsia="Times"/>
        </w:rPr>
        <w:t>.</w:t>
      </w:r>
    </w:p>
    <w:p w14:paraId="09439288" w14:textId="77777777" w:rsidR="00633879" w:rsidRDefault="00633879" w:rsidP="00633879">
      <w:pPr>
        <w:spacing w:line="276" w:lineRule="auto"/>
        <w:rPr>
          <w:rFonts w:eastAsia="Times"/>
        </w:rPr>
      </w:pPr>
      <w:r w:rsidRPr="009D5C17">
        <w:rPr>
          <w:rFonts w:eastAsia="Times"/>
        </w:rPr>
        <w:t>Separate virtual machines (data environments) will be set up for each approved project</w:t>
      </w:r>
      <w:r>
        <w:rPr>
          <w:rFonts w:eastAsia="Times"/>
        </w:rPr>
        <w:t>, and registered users provided with access to their project specific data via their project virtual machine</w:t>
      </w:r>
      <w:r w:rsidRPr="009D5C17">
        <w:rPr>
          <w:rFonts w:eastAsia="Times"/>
        </w:rPr>
        <w:t>.</w:t>
      </w:r>
      <w:r>
        <w:rPr>
          <w:rFonts w:eastAsia="Times"/>
        </w:rPr>
        <w:t xml:space="preserve"> While multiple researchers can be registered to use a specific virtual machine, however, there can only be two concurrent users on each virtual machine.</w:t>
      </w:r>
    </w:p>
    <w:p w14:paraId="00591884" w14:textId="4EA0255E" w:rsidR="00633879" w:rsidRDefault="00633879" w:rsidP="00633879">
      <w:pPr>
        <w:spacing w:line="276" w:lineRule="auto"/>
        <w:rPr>
          <w:rFonts w:eastAsia="Times"/>
        </w:rPr>
      </w:pPr>
      <w:r>
        <w:rPr>
          <w:rFonts w:eastAsia="Times"/>
        </w:rPr>
        <w:t xml:space="preserve">The linked data released to the virtual machine </w:t>
      </w:r>
      <w:r w:rsidRPr="009D5C17">
        <w:rPr>
          <w:rFonts w:eastAsia="Times"/>
        </w:rPr>
        <w:t xml:space="preserve">may be at unit record level </w:t>
      </w:r>
      <w:r>
        <w:rPr>
          <w:rFonts w:eastAsia="Times"/>
        </w:rPr>
        <w:t xml:space="preserve">once </w:t>
      </w:r>
      <w:r w:rsidRPr="009D5C17">
        <w:rPr>
          <w:rFonts w:eastAsia="Times"/>
        </w:rPr>
        <w:t>approved by data custodians</w:t>
      </w:r>
      <w:r>
        <w:rPr>
          <w:rFonts w:eastAsia="Times"/>
        </w:rPr>
        <w:t xml:space="preserve">. Unless negotiated with the CVDL and agreed by data custodians, the standard CVDL’s data de-identification and confidentialisation processes will apply to unit record data access via the virtual machine. </w:t>
      </w:r>
      <w:r w:rsidRPr="000057B4">
        <w:rPr>
          <w:rFonts w:eastAsia="Times"/>
        </w:rPr>
        <w:t>These processes are described in the CVDL application form.</w:t>
      </w:r>
      <w:r>
        <w:rPr>
          <w:rFonts w:eastAsia="Times"/>
        </w:rPr>
        <w:t xml:space="preserve"> </w:t>
      </w:r>
    </w:p>
    <w:p w14:paraId="750E40C3" w14:textId="77777777" w:rsidR="00633879" w:rsidRDefault="00633879" w:rsidP="00633879">
      <w:pPr>
        <w:spacing w:line="276" w:lineRule="auto"/>
        <w:rPr>
          <w:rFonts w:eastAsia="Times"/>
        </w:rPr>
      </w:pPr>
      <w:r w:rsidRPr="009D5C17">
        <w:rPr>
          <w:rFonts w:eastAsia="Times"/>
        </w:rPr>
        <w:t xml:space="preserve">Researchers </w:t>
      </w:r>
      <w:r>
        <w:rPr>
          <w:rFonts w:eastAsia="Times"/>
        </w:rPr>
        <w:t>can</w:t>
      </w:r>
      <w:r w:rsidRPr="009D5C17">
        <w:rPr>
          <w:rFonts w:eastAsia="Times"/>
        </w:rPr>
        <w:t xml:space="preserve"> analyse the data </w:t>
      </w:r>
      <w:r>
        <w:rPr>
          <w:rFonts w:eastAsia="Times"/>
        </w:rPr>
        <w:t>o</w:t>
      </w:r>
      <w:r w:rsidRPr="009D5C17">
        <w:rPr>
          <w:rFonts w:eastAsia="Times"/>
        </w:rPr>
        <w:t xml:space="preserve">n </w:t>
      </w:r>
      <w:r>
        <w:rPr>
          <w:rFonts w:eastAsia="Times"/>
        </w:rPr>
        <w:t xml:space="preserve">the </w:t>
      </w:r>
      <w:r w:rsidRPr="009D5C17">
        <w:rPr>
          <w:rFonts w:eastAsia="Times"/>
        </w:rPr>
        <w:t>virtual machine, using available software such as R</w:t>
      </w:r>
      <w:r>
        <w:rPr>
          <w:rFonts w:eastAsia="Times"/>
        </w:rPr>
        <w:t xml:space="preserve">, Python and SQL. </w:t>
      </w:r>
      <w:r w:rsidRPr="009D5C17">
        <w:rPr>
          <w:rFonts w:eastAsia="Times"/>
        </w:rPr>
        <w:t>Researchers will also have access to Microsoft Office</w:t>
      </w:r>
      <w:r>
        <w:rPr>
          <w:rFonts w:eastAsia="Times"/>
        </w:rPr>
        <w:t xml:space="preserve"> suite of products</w:t>
      </w:r>
      <w:r w:rsidRPr="009D5C17">
        <w:rPr>
          <w:rFonts w:eastAsia="Times"/>
        </w:rPr>
        <w:t xml:space="preserve">. Researchers may request to install </w:t>
      </w:r>
      <w:r>
        <w:rPr>
          <w:rFonts w:eastAsia="Times"/>
        </w:rPr>
        <w:t>preferred</w:t>
      </w:r>
      <w:r w:rsidRPr="009D5C17">
        <w:rPr>
          <w:rFonts w:eastAsia="Times"/>
        </w:rPr>
        <w:t xml:space="preserve"> software </w:t>
      </w:r>
      <w:r>
        <w:rPr>
          <w:rFonts w:eastAsia="Times"/>
        </w:rPr>
        <w:t>such as Stata</w:t>
      </w:r>
      <w:r w:rsidRPr="009D5C17">
        <w:rPr>
          <w:rFonts w:eastAsia="Times"/>
        </w:rPr>
        <w:t xml:space="preserve"> on a virtual machine on a BYO licence arrangement. Approved researchers will be provided with a log-on to access the virtual machine. </w:t>
      </w:r>
    </w:p>
    <w:p w14:paraId="3ED77D9D" w14:textId="77777777" w:rsidR="00633879" w:rsidRDefault="00633879" w:rsidP="00633879">
      <w:pPr>
        <w:spacing w:line="276" w:lineRule="auto"/>
        <w:rPr>
          <w:rFonts w:eastAsia="Times"/>
        </w:rPr>
      </w:pPr>
      <w:r>
        <w:rPr>
          <w:rFonts w:eastAsia="Times"/>
        </w:rPr>
        <w:t xml:space="preserve">Note that Power BI and SAS software are not available in the virtual machine environment due to licencing limitations. </w:t>
      </w:r>
    </w:p>
    <w:p w14:paraId="6BFAD32A" w14:textId="77777777" w:rsidR="00633879" w:rsidRDefault="00633879" w:rsidP="00633879">
      <w:pPr>
        <w:pStyle w:val="Heading2"/>
        <w:rPr>
          <w:rFonts w:eastAsia="Times"/>
        </w:rPr>
      </w:pPr>
      <w:r>
        <w:t>How do I remove my research results?</w:t>
      </w:r>
      <w:r>
        <w:rPr>
          <w:rFonts w:eastAsia="Times"/>
        </w:rPr>
        <w:t xml:space="preserve"> </w:t>
      </w:r>
    </w:p>
    <w:p w14:paraId="1083D803" w14:textId="372EB638" w:rsidR="00633879" w:rsidRDefault="00633879" w:rsidP="00633879">
      <w:pPr>
        <w:spacing w:line="270" w:lineRule="atLeast"/>
        <w:rPr>
          <w:rFonts w:eastAsia="Times"/>
        </w:rPr>
      </w:pPr>
      <w:r>
        <w:rPr>
          <w:rFonts w:eastAsia="Times"/>
        </w:rPr>
        <w:t xml:space="preserve">Researchers require authorisation from the CVDL for removal of research results </w:t>
      </w:r>
      <w:r w:rsidRPr="1FB6DA1D">
        <w:rPr>
          <w:rFonts w:eastAsia="Times"/>
        </w:rPr>
        <w:t xml:space="preserve">and outputs </w:t>
      </w:r>
      <w:r>
        <w:rPr>
          <w:rFonts w:eastAsia="Times"/>
        </w:rPr>
        <w:t>from the Virtual Machine to</w:t>
      </w:r>
      <w:r w:rsidRPr="00D50FD1">
        <w:rPr>
          <w:rFonts w:eastAsia="Times"/>
        </w:rPr>
        <w:t xml:space="preserve"> ensure a sufficient level of aggregation has been undertaken to meet privacy and confidentiality requirements</w:t>
      </w:r>
      <w:r>
        <w:rPr>
          <w:rFonts w:eastAsia="Times"/>
        </w:rPr>
        <w:t xml:space="preserve">. In general, this will involve </w:t>
      </w:r>
      <w:r w:rsidRPr="00D50FD1">
        <w:rPr>
          <w:rFonts w:eastAsia="Times"/>
        </w:rPr>
        <w:t xml:space="preserve">release of analysis, modelling, graphs and tables. As a guide, the CVDL requests that cells with counts below the threshold of 5 should be avoided by either combining categories or suppressing cells. </w:t>
      </w:r>
    </w:p>
    <w:p w14:paraId="2D02B858" w14:textId="77777777" w:rsidR="00633879" w:rsidRDefault="00633879" w:rsidP="00633879">
      <w:pPr>
        <w:spacing w:line="270" w:lineRule="atLeast"/>
        <w:rPr>
          <w:rFonts w:eastAsia="Times"/>
        </w:rPr>
      </w:pPr>
      <w:r>
        <w:rPr>
          <w:rFonts w:eastAsia="Times"/>
        </w:rPr>
        <w:t xml:space="preserve">Approval may be </w:t>
      </w:r>
      <w:r w:rsidRPr="00D50FD1">
        <w:rPr>
          <w:rFonts w:eastAsia="Times"/>
        </w:rPr>
        <w:t>provided for removal of unit record outputs</w:t>
      </w:r>
      <w:r>
        <w:rPr>
          <w:rFonts w:eastAsia="Times"/>
        </w:rPr>
        <w:t xml:space="preserve"> from the virtual machine as an exception. Specific confidentialisation and release </w:t>
      </w:r>
      <w:r w:rsidRPr="00D50FD1">
        <w:rPr>
          <w:rFonts w:eastAsia="Times"/>
        </w:rPr>
        <w:t xml:space="preserve">requirements should be </w:t>
      </w:r>
      <w:r>
        <w:rPr>
          <w:rFonts w:eastAsia="Times"/>
        </w:rPr>
        <w:t xml:space="preserve">raised </w:t>
      </w:r>
      <w:r w:rsidRPr="00D50FD1">
        <w:rPr>
          <w:rFonts w:eastAsia="Times"/>
        </w:rPr>
        <w:t>with the CVDL as early as possible as part of the application process</w:t>
      </w:r>
      <w:r>
        <w:rPr>
          <w:rFonts w:eastAsia="Times"/>
        </w:rPr>
        <w:t xml:space="preserve"> to enable discussion with data custodians</w:t>
      </w:r>
      <w:r w:rsidRPr="00D50FD1">
        <w:rPr>
          <w:rFonts w:eastAsia="Times"/>
        </w:rPr>
        <w:t xml:space="preserve">. </w:t>
      </w:r>
    </w:p>
    <w:p w14:paraId="5C66C5DC" w14:textId="77777777" w:rsidR="00633879" w:rsidRDefault="00633879" w:rsidP="00633879">
      <w:pPr>
        <w:spacing w:line="270" w:lineRule="atLeast"/>
        <w:rPr>
          <w:rFonts w:eastAsia="Times"/>
        </w:rPr>
      </w:pPr>
      <w:r w:rsidRPr="00D50FD1">
        <w:rPr>
          <w:rFonts w:eastAsia="Times"/>
        </w:rPr>
        <w:t xml:space="preserve">Wherever possible, please provide </w:t>
      </w:r>
      <w:r>
        <w:rPr>
          <w:rFonts w:eastAsia="Times"/>
        </w:rPr>
        <w:t>three</w:t>
      </w:r>
      <w:r w:rsidRPr="00D50FD1">
        <w:rPr>
          <w:rFonts w:eastAsia="Times"/>
        </w:rPr>
        <w:t xml:space="preserve"> days' notice for removal of outputs. </w:t>
      </w:r>
    </w:p>
    <w:p w14:paraId="6DC1641B" w14:textId="77777777" w:rsidR="00633879" w:rsidRDefault="00633879" w:rsidP="00633879">
      <w:pPr>
        <w:spacing w:line="270" w:lineRule="atLeast"/>
        <w:rPr>
          <w:rFonts w:eastAsia="Times"/>
        </w:rPr>
      </w:pPr>
      <w:r w:rsidRPr="00D50FD1">
        <w:rPr>
          <w:rFonts w:eastAsia="Times"/>
        </w:rPr>
        <w:t>Note that approval to remove data from the secure environment does not override the need for researchers to seek further approval from the CVDL and data custodians prior to publication of any results.</w:t>
      </w:r>
      <w:r>
        <w:rPr>
          <w:rFonts w:eastAsia="Times"/>
        </w:rPr>
        <w:t xml:space="preserve">  </w:t>
      </w:r>
    </w:p>
    <w:p w14:paraId="4D19046B" w14:textId="77777777" w:rsidR="00AE7B64" w:rsidRDefault="00AE7B64">
      <w:pPr>
        <w:spacing w:after="0" w:line="240" w:lineRule="auto"/>
        <w:rPr>
          <w:b/>
          <w:color w:val="53565A"/>
          <w:sz w:val="32"/>
          <w:szCs w:val="28"/>
        </w:rPr>
      </w:pPr>
      <w:r>
        <w:br w:type="page"/>
      </w:r>
    </w:p>
    <w:p w14:paraId="2F2A622F" w14:textId="286BDD64" w:rsidR="00633879" w:rsidRDefault="00633879" w:rsidP="000A1EFC">
      <w:pPr>
        <w:pStyle w:val="Heading2"/>
      </w:pPr>
      <w:r>
        <w:lastRenderedPageBreak/>
        <w:t xml:space="preserve">Is there a cost? </w:t>
      </w:r>
    </w:p>
    <w:p w14:paraId="08058104" w14:textId="77777777" w:rsidR="00633879" w:rsidRDefault="00633879" w:rsidP="00633879">
      <w:pPr>
        <w:spacing w:line="270" w:lineRule="atLeast"/>
        <w:rPr>
          <w:rFonts w:cs="Arial"/>
        </w:rPr>
      </w:pPr>
      <w:r w:rsidRPr="000612BB">
        <w:rPr>
          <w:rFonts w:eastAsia="Times" w:cs="Arial"/>
        </w:rPr>
        <w:t xml:space="preserve">The CVDL is charged by Microsoft for cloud computing processing power that is used by the secure environment. </w:t>
      </w:r>
      <w:r w:rsidRPr="000612BB">
        <w:rPr>
          <w:rFonts w:cs="Arial"/>
        </w:rPr>
        <w:t xml:space="preserve">Cost-recovery will </w:t>
      </w:r>
      <w:r>
        <w:rPr>
          <w:rFonts w:cs="Arial"/>
        </w:rPr>
        <w:t xml:space="preserve">therefore </w:t>
      </w:r>
      <w:r w:rsidRPr="000612BB">
        <w:rPr>
          <w:rFonts w:cs="Arial"/>
        </w:rPr>
        <w:t xml:space="preserve">be applied to each project for </w:t>
      </w:r>
      <w:r>
        <w:rPr>
          <w:rFonts w:cs="Arial"/>
        </w:rPr>
        <w:t xml:space="preserve">the </w:t>
      </w:r>
      <w:r w:rsidRPr="000612BB">
        <w:rPr>
          <w:rFonts w:cs="Arial"/>
        </w:rPr>
        <w:t>supply</w:t>
      </w:r>
      <w:r>
        <w:rPr>
          <w:rFonts w:cs="Arial"/>
        </w:rPr>
        <w:t xml:space="preserve"> of</w:t>
      </w:r>
      <w:r w:rsidRPr="000612BB">
        <w:rPr>
          <w:rFonts w:cs="Arial"/>
        </w:rPr>
        <w:t xml:space="preserve"> the VM environment. </w:t>
      </w:r>
      <w:r>
        <w:rPr>
          <w:rFonts w:cs="Arial"/>
        </w:rPr>
        <w:t>The estimated monthly cost for use 24 hours, 7 days per week depends on the project size, CPU and memory, and are indicted in the table below.</w:t>
      </w:r>
    </w:p>
    <w:p w14:paraId="20C4B7AE" w14:textId="77777777" w:rsidR="00633879" w:rsidRDefault="00633879" w:rsidP="00633879">
      <w:pPr>
        <w:spacing w:line="270" w:lineRule="atLeast"/>
        <w:rPr>
          <w:rFonts w:cs="Arial"/>
        </w:rPr>
      </w:pPr>
    </w:p>
    <w:p w14:paraId="35C7540C" w14:textId="77777777" w:rsidR="00633879" w:rsidRDefault="00633879" w:rsidP="00633879">
      <w:pPr>
        <w:spacing w:line="270" w:lineRule="atLeast"/>
        <w:rPr>
          <w:rFonts w:cs="Arial"/>
        </w:rPr>
      </w:pPr>
      <w:r w:rsidRPr="000612BB">
        <w:rPr>
          <w:rFonts w:eastAsia="Times" w:cs="Arial"/>
        </w:rPr>
        <w:t xml:space="preserve">The CVDL </w:t>
      </w:r>
      <w:r>
        <w:rPr>
          <w:rFonts w:eastAsia="Times" w:cs="Arial"/>
        </w:rPr>
        <w:t xml:space="preserve">will </w:t>
      </w:r>
      <w:r w:rsidRPr="000612BB">
        <w:rPr>
          <w:rFonts w:eastAsia="Times" w:cs="Arial"/>
        </w:rPr>
        <w:t>estimate the cost of projects</w:t>
      </w:r>
      <w:r>
        <w:rPr>
          <w:rFonts w:eastAsia="Times" w:cs="Arial"/>
        </w:rPr>
        <w:t>,</w:t>
      </w:r>
      <w:r w:rsidRPr="000612BB">
        <w:rPr>
          <w:rFonts w:eastAsia="Times" w:cs="Arial"/>
        </w:rPr>
        <w:t xml:space="preserve"> based on the amount of cloud computer processing power required</w:t>
      </w:r>
      <w:r>
        <w:rPr>
          <w:rFonts w:eastAsia="Times" w:cs="Arial"/>
        </w:rPr>
        <w:t xml:space="preserve"> in consultation with the researcher at the time of application</w:t>
      </w:r>
      <w:r w:rsidRPr="000612BB">
        <w:rPr>
          <w:rFonts w:eastAsia="Times" w:cs="Arial"/>
        </w:rPr>
        <w:t xml:space="preserve">. </w:t>
      </w:r>
      <w:r>
        <w:rPr>
          <w:rFonts w:eastAsia="Times" w:cs="Arial"/>
        </w:rPr>
        <w:t xml:space="preserve">Payment of the estimated cost will be required prior to data access being provided. </w:t>
      </w:r>
      <w:r>
        <w:rPr>
          <w:rFonts w:cs="Arial"/>
        </w:rPr>
        <w:t xml:space="preserve">Note that the cost is incurred only for the hours that the virtual machine is switched on, and the virtual machine should be turned off when not in use, otherwise costs will be incurred. </w:t>
      </w:r>
    </w:p>
    <w:p w14:paraId="3AF00EED" w14:textId="6BFB9D25" w:rsidR="00633879" w:rsidRDefault="00633879" w:rsidP="00633879">
      <w:pPr>
        <w:spacing w:line="270" w:lineRule="atLeast"/>
        <w:rPr>
          <w:rFonts w:cs="Arial"/>
        </w:rPr>
      </w:pPr>
      <w:r>
        <w:rPr>
          <w:rFonts w:cs="Arial"/>
        </w:rPr>
        <w:t>Finalised cost will be available at the end of the project. The CVDL will send an invoice reflecting the total cost and pre-paid amounts, any dues or refunds will be processed then.</w:t>
      </w:r>
    </w:p>
    <w:p w14:paraId="26796747" w14:textId="77777777" w:rsidR="00633879" w:rsidRPr="007C224C" w:rsidRDefault="00633879" w:rsidP="00633879">
      <w:pPr>
        <w:spacing w:line="270" w:lineRule="atLeast"/>
        <w:rPr>
          <w:rFonts w:cs="Arial"/>
        </w:rPr>
      </w:pPr>
      <w:r>
        <w:rPr>
          <w:rFonts w:cs="Arial"/>
        </w:rPr>
        <w:t xml:space="preserve">Researchers applying for project funding should consider the estimated cost for accessing the linked data in their grant applications. </w:t>
      </w:r>
    </w:p>
    <w:tbl>
      <w:tblPr>
        <w:tblW w:w="10077" w:type="dxa"/>
        <w:tblInd w:w="-147" w:type="dxa"/>
        <w:tblLayout w:type="fixed"/>
        <w:tblLook w:val="04A0" w:firstRow="1" w:lastRow="0" w:firstColumn="1" w:lastColumn="0" w:noHBand="0" w:noVBand="1"/>
      </w:tblPr>
      <w:tblGrid>
        <w:gridCol w:w="4619"/>
        <w:gridCol w:w="2938"/>
        <w:gridCol w:w="2520"/>
      </w:tblGrid>
      <w:tr w:rsidR="00C705BD" w:rsidRPr="0066759A" w14:paraId="34463F72" w14:textId="77777777" w:rsidTr="009913ED">
        <w:trPr>
          <w:trHeight w:val="1169"/>
        </w:trPr>
        <w:tc>
          <w:tcPr>
            <w:tcW w:w="4619" w:type="dxa"/>
            <w:tcBorders>
              <w:top w:val="single" w:sz="4" w:space="0" w:color="4472C4"/>
              <w:left w:val="single" w:sz="4" w:space="0" w:color="4472C4"/>
              <w:bottom w:val="single" w:sz="4" w:space="0" w:color="4472C4"/>
              <w:right w:val="single" w:sz="4" w:space="0" w:color="4472C4"/>
            </w:tcBorders>
            <w:shd w:val="clear" w:color="000000" w:fill="5B9BD5"/>
            <w:vAlign w:val="center"/>
            <w:hideMark/>
          </w:tcPr>
          <w:p w14:paraId="040CDDB3" w14:textId="77777777" w:rsidR="00C705BD" w:rsidRPr="0066759A" w:rsidRDefault="00C705BD" w:rsidP="009913ED">
            <w:pPr>
              <w:spacing w:after="0" w:line="240" w:lineRule="auto"/>
              <w:rPr>
                <w:rFonts w:cs="Arial"/>
                <w:b/>
                <w:bCs/>
                <w:color w:val="000000"/>
                <w:sz w:val="20"/>
                <w:lang w:eastAsia="en-AU"/>
              </w:rPr>
            </w:pPr>
            <w:bookmarkStart w:id="5" w:name="OLE_LINK2"/>
            <w:bookmarkEnd w:id="2"/>
            <w:r w:rsidRPr="0066759A">
              <w:rPr>
                <w:rFonts w:cs="Arial"/>
                <w:b/>
                <w:bCs/>
                <w:color w:val="000000"/>
                <w:sz w:val="20"/>
                <w:lang w:val="en-US" w:eastAsia="en-AU"/>
              </w:rPr>
              <w:t>Machine Size</w:t>
            </w:r>
          </w:p>
        </w:tc>
        <w:tc>
          <w:tcPr>
            <w:tcW w:w="2938" w:type="dxa"/>
            <w:tcBorders>
              <w:top w:val="single" w:sz="4" w:space="0" w:color="4472C4"/>
              <w:left w:val="single" w:sz="4" w:space="0" w:color="4472C4"/>
              <w:bottom w:val="single" w:sz="4" w:space="0" w:color="4472C4"/>
              <w:right w:val="single" w:sz="4" w:space="0" w:color="4472C4"/>
            </w:tcBorders>
            <w:shd w:val="clear" w:color="000000" w:fill="5B9BD5"/>
            <w:noWrap/>
            <w:vAlign w:val="center"/>
            <w:hideMark/>
          </w:tcPr>
          <w:p w14:paraId="7CA1D6D8" w14:textId="77777777" w:rsidR="00C705BD" w:rsidRPr="0066759A" w:rsidRDefault="00C705BD" w:rsidP="009913ED">
            <w:pPr>
              <w:spacing w:after="0" w:line="240" w:lineRule="auto"/>
              <w:rPr>
                <w:rFonts w:cs="Arial"/>
                <w:b/>
                <w:bCs/>
                <w:color w:val="000000"/>
                <w:sz w:val="20"/>
                <w:lang w:eastAsia="en-AU"/>
              </w:rPr>
            </w:pPr>
            <w:r w:rsidRPr="0066759A">
              <w:rPr>
                <w:rFonts w:cs="Arial"/>
                <w:b/>
                <w:bCs/>
                <w:sz w:val="20"/>
                <w:lang w:eastAsia="en-AU"/>
              </w:rPr>
              <w:t>Estimated 24/7 monthly cost (including shared infrastructure cost 30%)</w:t>
            </w:r>
          </w:p>
        </w:tc>
        <w:tc>
          <w:tcPr>
            <w:tcW w:w="2519" w:type="dxa"/>
            <w:tcBorders>
              <w:top w:val="single" w:sz="4" w:space="0" w:color="4472C4"/>
              <w:left w:val="single" w:sz="4" w:space="0" w:color="4472C4"/>
              <w:bottom w:val="single" w:sz="4" w:space="0" w:color="4472C4"/>
              <w:right w:val="single" w:sz="4" w:space="0" w:color="4472C4"/>
            </w:tcBorders>
            <w:shd w:val="clear" w:color="000000" w:fill="5B9BD5"/>
            <w:noWrap/>
            <w:vAlign w:val="center"/>
            <w:hideMark/>
          </w:tcPr>
          <w:p w14:paraId="67BC0CDC" w14:textId="77777777" w:rsidR="00C705BD" w:rsidRPr="0066759A" w:rsidRDefault="00C705BD" w:rsidP="009913ED">
            <w:pPr>
              <w:spacing w:after="0" w:line="240" w:lineRule="auto"/>
              <w:rPr>
                <w:rFonts w:cs="Arial"/>
                <w:b/>
                <w:bCs/>
                <w:color w:val="000000"/>
                <w:sz w:val="20"/>
                <w:lang w:eastAsia="en-AU"/>
              </w:rPr>
            </w:pPr>
            <w:r w:rsidRPr="0066759A">
              <w:rPr>
                <w:rFonts w:cs="Arial"/>
                <w:b/>
                <w:bCs/>
                <w:sz w:val="20"/>
                <w:lang w:eastAsia="en-AU"/>
              </w:rPr>
              <w:t>Estimated per hour cost (including shared infrastructure cost 30%)</w:t>
            </w:r>
          </w:p>
        </w:tc>
      </w:tr>
      <w:tr w:rsidR="00C705BD" w:rsidRPr="0066759A" w14:paraId="082FAAFC" w14:textId="77777777" w:rsidTr="009913ED">
        <w:trPr>
          <w:trHeight w:val="372"/>
        </w:trPr>
        <w:tc>
          <w:tcPr>
            <w:tcW w:w="4619" w:type="dxa"/>
            <w:tcBorders>
              <w:top w:val="single" w:sz="4" w:space="0" w:color="4472C4"/>
              <w:left w:val="single" w:sz="8" w:space="0" w:color="9CC2E5"/>
              <w:bottom w:val="single" w:sz="8" w:space="0" w:color="9CC2E5"/>
              <w:right w:val="single" w:sz="8" w:space="0" w:color="9CC2E5"/>
            </w:tcBorders>
            <w:shd w:val="clear" w:color="000000" w:fill="DEEAF6"/>
            <w:vAlign w:val="center"/>
            <w:hideMark/>
          </w:tcPr>
          <w:p w14:paraId="05FCC4FF" w14:textId="77777777" w:rsidR="00C705BD" w:rsidRPr="0066759A" w:rsidRDefault="00C705BD" w:rsidP="009913ED">
            <w:pPr>
              <w:spacing w:after="0" w:line="240" w:lineRule="auto"/>
              <w:rPr>
                <w:rFonts w:cs="Arial"/>
                <w:color w:val="000000"/>
                <w:sz w:val="20"/>
                <w:lang w:eastAsia="en-AU"/>
              </w:rPr>
            </w:pPr>
            <w:r w:rsidRPr="0066759A">
              <w:rPr>
                <w:rFonts w:cs="Arial"/>
                <w:b/>
                <w:bCs/>
                <w:sz w:val="20"/>
                <w:lang w:eastAsia="en-AU"/>
              </w:rPr>
              <w:t>D2s v3 (</w:t>
            </w:r>
            <w:r w:rsidRPr="0066759A">
              <w:rPr>
                <w:rFonts w:cs="Arial"/>
                <w:sz w:val="20"/>
                <w:lang w:eastAsia="en-AU"/>
              </w:rPr>
              <w:t>2 vCPU, 8 GB RAM)</w:t>
            </w:r>
          </w:p>
        </w:tc>
        <w:tc>
          <w:tcPr>
            <w:tcW w:w="2938" w:type="dxa"/>
            <w:tcBorders>
              <w:top w:val="single" w:sz="4" w:space="0" w:color="4472C4"/>
              <w:left w:val="nil"/>
              <w:bottom w:val="single" w:sz="8" w:space="0" w:color="9CC2E5"/>
              <w:right w:val="single" w:sz="8" w:space="0" w:color="9CC2E5"/>
            </w:tcBorders>
            <w:shd w:val="clear" w:color="000000" w:fill="DEEAF6"/>
            <w:noWrap/>
          </w:tcPr>
          <w:p w14:paraId="4D1E102D" w14:textId="16FF45D5" w:rsidR="00C705BD" w:rsidRPr="0066759A" w:rsidRDefault="00C705BD" w:rsidP="009913ED">
            <w:pPr>
              <w:spacing w:after="0" w:line="240" w:lineRule="auto"/>
              <w:jc w:val="right"/>
              <w:rPr>
                <w:rFonts w:cs="Arial"/>
                <w:color w:val="000000"/>
                <w:sz w:val="20"/>
                <w:lang w:eastAsia="en-AU"/>
              </w:rPr>
            </w:pPr>
            <w:r w:rsidRPr="0066759A">
              <w:rPr>
                <w:rFonts w:cs="Arial"/>
                <w:sz w:val="20"/>
              </w:rPr>
              <w:t>$260</w:t>
            </w:r>
          </w:p>
        </w:tc>
        <w:tc>
          <w:tcPr>
            <w:tcW w:w="2519" w:type="dxa"/>
            <w:tcBorders>
              <w:top w:val="single" w:sz="4" w:space="0" w:color="4472C4"/>
              <w:left w:val="nil"/>
              <w:bottom w:val="single" w:sz="8" w:space="0" w:color="9CC2E5"/>
              <w:right w:val="single" w:sz="8" w:space="0" w:color="9CC2E5"/>
            </w:tcBorders>
            <w:shd w:val="clear" w:color="000000" w:fill="DEEAF6"/>
            <w:vAlign w:val="center"/>
          </w:tcPr>
          <w:p w14:paraId="155F6844"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$0.35</w:t>
            </w:r>
          </w:p>
        </w:tc>
      </w:tr>
      <w:tr w:rsidR="00C705BD" w:rsidRPr="0066759A" w14:paraId="0038EC5A" w14:textId="77777777" w:rsidTr="009913ED">
        <w:trPr>
          <w:trHeight w:val="372"/>
        </w:trPr>
        <w:tc>
          <w:tcPr>
            <w:tcW w:w="4619" w:type="dxa"/>
            <w:tcBorders>
              <w:top w:val="nil"/>
              <w:left w:val="single" w:sz="8" w:space="0" w:color="9CC2E5"/>
              <w:bottom w:val="single" w:sz="8" w:space="0" w:color="9CC2E5"/>
              <w:right w:val="single" w:sz="8" w:space="0" w:color="9CC2E5"/>
            </w:tcBorders>
            <w:shd w:val="clear" w:color="auto" w:fill="auto"/>
            <w:vAlign w:val="center"/>
            <w:hideMark/>
          </w:tcPr>
          <w:p w14:paraId="27BF3474" w14:textId="77777777" w:rsidR="00C705BD" w:rsidRPr="0066759A" w:rsidRDefault="00C705BD" w:rsidP="009913ED">
            <w:pPr>
              <w:spacing w:after="0" w:line="240" w:lineRule="auto"/>
              <w:rPr>
                <w:rFonts w:cs="Arial"/>
                <w:color w:val="000000"/>
                <w:sz w:val="20"/>
                <w:lang w:eastAsia="en-AU"/>
              </w:rPr>
            </w:pPr>
            <w:r w:rsidRPr="0066759A">
              <w:rPr>
                <w:rFonts w:cs="Arial"/>
                <w:b/>
                <w:bCs/>
                <w:sz w:val="20"/>
                <w:lang w:eastAsia="en-AU"/>
              </w:rPr>
              <w:t>D4s v3 (</w:t>
            </w:r>
            <w:r w:rsidRPr="0066759A">
              <w:rPr>
                <w:rFonts w:cs="Arial"/>
                <w:sz w:val="20"/>
                <w:lang w:eastAsia="en-AU"/>
              </w:rPr>
              <w:t>4 vCPU, 16 GB RAM)</w:t>
            </w:r>
          </w:p>
        </w:tc>
        <w:tc>
          <w:tcPr>
            <w:tcW w:w="2938" w:type="dxa"/>
            <w:tcBorders>
              <w:top w:val="nil"/>
              <w:left w:val="nil"/>
              <w:bottom w:val="single" w:sz="8" w:space="0" w:color="9CC2E5"/>
              <w:right w:val="single" w:sz="8" w:space="0" w:color="9CC2E5"/>
            </w:tcBorders>
            <w:shd w:val="clear" w:color="auto" w:fill="auto"/>
            <w:noWrap/>
          </w:tcPr>
          <w:p w14:paraId="6D4C14BD" w14:textId="411ACB5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lang w:eastAsia="en-AU"/>
              </w:rPr>
              <w:t>$519</w:t>
            </w:r>
          </w:p>
        </w:tc>
        <w:tc>
          <w:tcPr>
            <w:tcW w:w="2519" w:type="dxa"/>
            <w:tcBorders>
              <w:top w:val="nil"/>
              <w:left w:val="nil"/>
              <w:bottom w:val="single" w:sz="8" w:space="0" w:color="9CC2E5"/>
              <w:right w:val="single" w:sz="8" w:space="0" w:color="9CC2E5"/>
            </w:tcBorders>
            <w:shd w:val="clear" w:color="auto" w:fill="auto"/>
            <w:vAlign w:val="center"/>
          </w:tcPr>
          <w:p w14:paraId="1AC48542"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$0.72</w:t>
            </w:r>
          </w:p>
        </w:tc>
      </w:tr>
      <w:tr w:rsidR="00C705BD" w:rsidRPr="0066759A" w14:paraId="37A467C2" w14:textId="77777777" w:rsidTr="009913ED">
        <w:trPr>
          <w:trHeight w:val="372"/>
        </w:trPr>
        <w:tc>
          <w:tcPr>
            <w:tcW w:w="4619" w:type="dxa"/>
            <w:tcBorders>
              <w:top w:val="nil"/>
              <w:left w:val="single" w:sz="8" w:space="0" w:color="9CC2E5"/>
              <w:bottom w:val="single" w:sz="8" w:space="0" w:color="9CC2E5"/>
              <w:right w:val="single" w:sz="8" w:space="0" w:color="9CC2E5"/>
            </w:tcBorders>
            <w:shd w:val="clear" w:color="auto" w:fill="auto"/>
            <w:vAlign w:val="center"/>
          </w:tcPr>
          <w:p w14:paraId="22CFF517" w14:textId="77777777" w:rsidR="00C705BD" w:rsidRPr="0066759A" w:rsidRDefault="00C705BD" w:rsidP="009913ED">
            <w:pPr>
              <w:spacing w:after="0" w:line="240" w:lineRule="auto"/>
              <w:rPr>
                <w:rFonts w:cs="Arial"/>
                <w:color w:val="000000"/>
                <w:sz w:val="20"/>
                <w:lang w:eastAsia="en-AU"/>
              </w:rPr>
            </w:pPr>
            <w:r w:rsidRPr="0066759A">
              <w:rPr>
                <w:rFonts w:cs="Arial"/>
                <w:b/>
                <w:bCs/>
                <w:color w:val="000000"/>
                <w:sz w:val="20"/>
                <w:lang w:eastAsia="en-AU"/>
              </w:rPr>
              <w:t>F8s</w:t>
            </w:r>
            <w:r w:rsidRPr="0066759A">
              <w:rPr>
                <w:rFonts w:cs="Arial"/>
                <w:color w:val="000000"/>
                <w:sz w:val="20"/>
                <w:lang w:eastAsia="en-AU"/>
              </w:rPr>
              <w:t xml:space="preserve"> (8 vCPU, 16 GB RAM)</w:t>
            </w:r>
          </w:p>
        </w:tc>
        <w:tc>
          <w:tcPr>
            <w:tcW w:w="2938" w:type="dxa"/>
            <w:tcBorders>
              <w:top w:val="nil"/>
              <w:left w:val="nil"/>
              <w:bottom w:val="single" w:sz="8" w:space="0" w:color="9CC2E5"/>
              <w:right w:val="single" w:sz="8" w:space="0" w:color="9CC2E5"/>
            </w:tcBorders>
            <w:shd w:val="clear" w:color="000000" w:fill="DEEAF6"/>
            <w:noWrap/>
          </w:tcPr>
          <w:p w14:paraId="1EFA3645" w14:textId="3C8A7FCE" w:rsidR="00C705BD" w:rsidRPr="0066759A" w:rsidRDefault="00C705BD" w:rsidP="009913ED">
            <w:pPr>
              <w:spacing w:after="0" w:line="240" w:lineRule="auto"/>
              <w:jc w:val="right"/>
              <w:rPr>
                <w:rFonts w:cs="Arial"/>
                <w:sz w:val="20"/>
                <w:lang w:eastAsia="en-AU"/>
              </w:rPr>
            </w:pPr>
            <w:r w:rsidRPr="0066759A">
              <w:rPr>
                <w:rFonts w:cs="Arial"/>
                <w:color w:val="000000"/>
                <w:sz w:val="20"/>
                <w:lang w:eastAsia="en-AU"/>
              </w:rPr>
              <w:t>$1,07</w:t>
            </w:r>
            <w:r>
              <w:rPr>
                <w:rFonts w:cs="Arial"/>
                <w:color w:val="000000"/>
                <w:sz w:val="20"/>
                <w:lang w:eastAsia="en-AU"/>
              </w:rPr>
              <w:t>8</w:t>
            </w:r>
          </w:p>
        </w:tc>
        <w:tc>
          <w:tcPr>
            <w:tcW w:w="2519" w:type="dxa"/>
            <w:tcBorders>
              <w:top w:val="nil"/>
              <w:left w:val="nil"/>
              <w:bottom w:val="single" w:sz="8" w:space="0" w:color="9CC2E5"/>
              <w:right w:val="single" w:sz="8" w:space="0" w:color="9CC2E5"/>
            </w:tcBorders>
            <w:shd w:val="clear" w:color="000000" w:fill="DEEAF6"/>
            <w:vAlign w:val="center"/>
          </w:tcPr>
          <w:p w14:paraId="0000BECD"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$1.48</w:t>
            </w:r>
          </w:p>
        </w:tc>
      </w:tr>
      <w:tr w:rsidR="00C705BD" w:rsidRPr="0066759A" w14:paraId="7477CCC8" w14:textId="77777777" w:rsidTr="009913ED">
        <w:trPr>
          <w:trHeight w:val="372"/>
        </w:trPr>
        <w:tc>
          <w:tcPr>
            <w:tcW w:w="4619" w:type="dxa"/>
            <w:tcBorders>
              <w:top w:val="nil"/>
              <w:left w:val="single" w:sz="8" w:space="0" w:color="9CC2E5"/>
              <w:bottom w:val="single" w:sz="8" w:space="0" w:color="9CC2E5"/>
              <w:right w:val="single" w:sz="8" w:space="0" w:color="9CC2E5"/>
            </w:tcBorders>
            <w:shd w:val="clear" w:color="auto" w:fill="auto"/>
            <w:vAlign w:val="center"/>
          </w:tcPr>
          <w:p w14:paraId="392D5A8A" w14:textId="77777777" w:rsidR="00C705BD" w:rsidRPr="0066759A" w:rsidRDefault="00C705BD" w:rsidP="009913ED">
            <w:pPr>
              <w:spacing w:after="0" w:line="240" w:lineRule="auto"/>
              <w:rPr>
                <w:rFonts w:cs="Arial"/>
                <w:b/>
                <w:bCs/>
                <w:sz w:val="20"/>
                <w:lang w:eastAsia="en-AU"/>
              </w:rPr>
            </w:pPr>
            <w:r w:rsidRPr="0066759A">
              <w:rPr>
                <w:rFonts w:cs="Arial"/>
                <w:b/>
                <w:bCs/>
                <w:color w:val="000000"/>
                <w:sz w:val="20"/>
                <w:lang w:eastAsia="en-AU"/>
              </w:rPr>
              <w:t>D8s v3</w:t>
            </w:r>
            <w:r w:rsidRPr="0066759A">
              <w:rPr>
                <w:rFonts w:cs="Arial"/>
                <w:color w:val="000000"/>
                <w:sz w:val="20"/>
                <w:lang w:eastAsia="en-AU"/>
              </w:rPr>
              <w:t xml:space="preserve"> (8 vCPU, 32 GB RAM)</w:t>
            </w:r>
          </w:p>
        </w:tc>
        <w:tc>
          <w:tcPr>
            <w:tcW w:w="2938" w:type="dxa"/>
            <w:tcBorders>
              <w:top w:val="nil"/>
              <w:left w:val="nil"/>
              <w:bottom w:val="single" w:sz="8" w:space="0" w:color="9CC2E5"/>
              <w:right w:val="single" w:sz="8" w:space="0" w:color="9CC2E5"/>
            </w:tcBorders>
            <w:shd w:val="clear" w:color="auto" w:fill="auto"/>
            <w:noWrap/>
          </w:tcPr>
          <w:p w14:paraId="1BF73853" w14:textId="1DEF4D71" w:rsidR="00C705BD" w:rsidRPr="0066759A" w:rsidRDefault="00C705BD" w:rsidP="009913ED">
            <w:pPr>
              <w:spacing w:after="0" w:line="240" w:lineRule="auto"/>
              <w:jc w:val="right"/>
              <w:rPr>
                <w:rFonts w:cs="Arial"/>
                <w:sz w:val="20"/>
                <w:lang w:eastAsia="en-AU"/>
              </w:rPr>
            </w:pPr>
            <w:r w:rsidRPr="0066759A">
              <w:rPr>
                <w:rFonts w:cs="Arial"/>
                <w:color w:val="000000"/>
                <w:sz w:val="20"/>
                <w:lang w:eastAsia="en-AU"/>
              </w:rPr>
              <w:t>$1,36</w:t>
            </w:r>
            <w:r>
              <w:rPr>
                <w:rFonts w:cs="Arial"/>
                <w:color w:val="000000"/>
                <w:sz w:val="20"/>
                <w:lang w:eastAsia="en-AU"/>
              </w:rPr>
              <w:t>1</w:t>
            </w:r>
          </w:p>
        </w:tc>
        <w:tc>
          <w:tcPr>
            <w:tcW w:w="2519" w:type="dxa"/>
            <w:tcBorders>
              <w:top w:val="nil"/>
              <w:left w:val="nil"/>
              <w:bottom w:val="single" w:sz="8" w:space="0" w:color="9CC2E5"/>
              <w:right w:val="single" w:sz="8" w:space="0" w:color="9CC2E5"/>
            </w:tcBorders>
            <w:shd w:val="clear" w:color="auto" w:fill="auto"/>
            <w:vAlign w:val="center"/>
          </w:tcPr>
          <w:p w14:paraId="763899F9"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$1.86</w:t>
            </w:r>
          </w:p>
        </w:tc>
      </w:tr>
      <w:tr w:rsidR="00C705BD" w:rsidRPr="0066759A" w14:paraId="2E393869" w14:textId="77777777" w:rsidTr="009913ED">
        <w:trPr>
          <w:trHeight w:val="372"/>
        </w:trPr>
        <w:tc>
          <w:tcPr>
            <w:tcW w:w="4619" w:type="dxa"/>
            <w:tcBorders>
              <w:top w:val="nil"/>
              <w:left w:val="single" w:sz="8" w:space="0" w:color="9CC2E5"/>
              <w:bottom w:val="single" w:sz="8" w:space="0" w:color="9CC2E5"/>
              <w:right w:val="single" w:sz="8" w:space="0" w:color="9CC2E5"/>
            </w:tcBorders>
            <w:shd w:val="clear" w:color="auto" w:fill="auto"/>
            <w:vAlign w:val="center"/>
          </w:tcPr>
          <w:p w14:paraId="32F80114" w14:textId="77777777" w:rsidR="00C705BD" w:rsidRPr="0066759A" w:rsidRDefault="00C705BD" w:rsidP="009913ED">
            <w:pPr>
              <w:spacing w:after="0" w:line="240" w:lineRule="auto"/>
              <w:rPr>
                <w:rFonts w:cs="Arial"/>
                <w:b/>
                <w:bCs/>
                <w:sz w:val="20"/>
                <w:lang w:eastAsia="en-AU"/>
              </w:rPr>
            </w:pPr>
            <w:r w:rsidRPr="0066759A">
              <w:rPr>
                <w:rFonts w:cs="Arial"/>
                <w:b/>
                <w:bCs/>
                <w:color w:val="000000"/>
                <w:sz w:val="20"/>
                <w:lang w:eastAsia="en-AU"/>
              </w:rPr>
              <w:t>F16s</w:t>
            </w:r>
            <w:r w:rsidRPr="0066759A">
              <w:rPr>
                <w:rFonts w:cs="Arial"/>
                <w:color w:val="000000"/>
                <w:sz w:val="20"/>
                <w:lang w:eastAsia="en-AU"/>
              </w:rPr>
              <w:t xml:space="preserve"> (16 vCPU, 32 GB RAM)</w:t>
            </w:r>
          </w:p>
        </w:tc>
        <w:tc>
          <w:tcPr>
            <w:tcW w:w="2938" w:type="dxa"/>
            <w:tcBorders>
              <w:top w:val="nil"/>
              <w:left w:val="nil"/>
              <w:bottom w:val="single" w:sz="8" w:space="0" w:color="9CC2E5"/>
              <w:right w:val="single" w:sz="8" w:space="0" w:color="9CC2E5"/>
            </w:tcBorders>
            <w:shd w:val="clear" w:color="000000" w:fill="DEEAF6"/>
            <w:noWrap/>
          </w:tcPr>
          <w:p w14:paraId="6F4E2FCF" w14:textId="4AA03B02" w:rsidR="00C705BD" w:rsidRPr="0066759A" w:rsidRDefault="00C705BD" w:rsidP="009913ED">
            <w:pPr>
              <w:spacing w:after="0" w:line="240" w:lineRule="auto"/>
              <w:jc w:val="right"/>
              <w:rPr>
                <w:rFonts w:cs="Arial"/>
                <w:sz w:val="20"/>
                <w:lang w:eastAsia="en-AU"/>
              </w:rPr>
            </w:pPr>
            <w:r w:rsidRPr="0066759A">
              <w:rPr>
                <w:rFonts w:cs="Arial"/>
                <w:color w:val="000000"/>
                <w:sz w:val="20"/>
                <w:lang w:eastAsia="en-AU"/>
              </w:rPr>
              <w:t>$2,154</w:t>
            </w:r>
          </w:p>
        </w:tc>
        <w:tc>
          <w:tcPr>
            <w:tcW w:w="2519" w:type="dxa"/>
            <w:tcBorders>
              <w:top w:val="nil"/>
              <w:left w:val="nil"/>
              <w:bottom w:val="single" w:sz="8" w:space="0" w:color="9CC2E5"/>
              <w:right w:val="single" w:sz="8" w:space="0" w:color="9CC2E5"/>
            </w:tcBorders>
            <w:shd w:val="clear" w:color="000000" w:fill="DEEAF6"/>
            <w:vAlign w:val="center"/>
          </w:tcPr>
          <w:p w14:paraId="258D0659"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$2.95</w:t>
            </w:r>
          </w:p>
        </w:tc>
      </w:tr>
      <w:tr w:rsidR="00C705BD" w:rsidRPr="0066759A" w14:paraId="60E5E2A5" w14:textId="77777777" w:rsidTr="009913ED">
        <w:trPr>
          <w:trHeight w:val="372"/>
        </w:trPr>
        <w:tc>
          <w:tcPr>
            <w:tcW w:w="4619" w:type="dxa"/>
            <w:tcBorders>
              <w:top w:val="nil"/>
              <w:left w:val="single" w:sz="8" w:space="0" w:color="9CC2E5"/>
              <w:bottom w:val="single" w:sz="8" w:space="0" w:color="9CC2E5"/>
              <w:right w:val="single" w:sz="8" w:space="0" w:color="9CC2E5"/>
            </w:tcBorders>
            <w:shd w:val="clear" w:color="auto" w:fill="auto"/>
            <w:vAlign w:val="center"/>
          </w:tcPr>
          <w:p w14:paraId="6435D0D6" w14:textId="77777777" w:rsidR="00C705BD" w:rsidRPr="0066759A" w:rsidRDefault="00C705BD" w:rsidP="009913ED">
            <w:pPr>
              <w:spacing w:after="0" w:line="240" w:lineRule="auto"/>
              <w:rPr>
                <w:rFonts w:cs="Arial"/>
                <w:b/>
                <w:bCs/>
                <w:sz w:val="20"/>
                <w:lang w:eastAsia="en-AU"/>
              </w:rPr>
            </w:pPr>
            <w:r w:rsidRPr="0066759A">
              <w:rPr>
                <w:rFonts w:cs="Arial"/>
                <w:b/>
                <w:bCs/>
                <w:color w:val="000000"/>
                <w:sz w:val="20"/>
                <w:lang w:eastAsia="en-AU"/>
              </w:rPr>
              <w:t>D16s v3</w:t>
            </w:r>
            <w:r w:rsidRPr="0066759A">
              <w:rPr>
                <w:rFonts w:cs="Arial"/>
                <w:color w:val="000000"/>
                <w:sz w:val="20"/>
                <w:lang w:eastAsia="en-AU"/>
              </w:rPr>
              <w:t xml:space="preserve"> (16 vCPU, 64 GB RAM)</w:t>
            </w:r>
          </w:p>
        </w:tc>
        <w:tc>
          <w:tcPr>
            <w:tcW w:w="2938" w:type="dxa"/>
            <w:tcBorders>
              <w:top w:val="nil"/>
              <w:left w:val="nil"/>
              <w:bottom w:val="single" w:sz="8" w:space="0" w:color="9CC2E5"/>
              <w:right w:val="single" w:sz="8" w:space="0" w:color="9CC2E5"/>
            </w:tcBorders>
            <w:shd w:val="clear" w:color="auto" w:fill="auto"/>
            <w:noWrap/>
          </w:tcPr>
          <w:p w14:paraId="7F998086" w14:textId="7D19695A" w:rsidR="00C705BD" w:rsidRPr="0066759A" w:rsidRDefault="00C705BD" w:rsidP="009913ED">
            <w:pPr>
              <w:spacing w:after="0" w:line="240" w:lineRule="auto"/>
              <w:jc w:val="right"/>
              <w:rPr>
                <w:rFonts w:cs="Arial"/>
                <w:sz w:val="20"/>
                <w:lang w:eastAsia="en-AU"/>
              </w:rPr>
            </w:pPr>
            <w:r w:rsidRPr="0066759A">
              <w:rPr>
                <w:rFonts w:cs="Arial"/>
                <w:color w:val="000000"/>
                <w:sz w:val="20"/>
                <w:lang w:eastAsia="en-AU"/>
              </w:rPr>
              <w:t>$2,079</w:t>
            </w:r>
          </w:p>
        </w:tc>
        <w:tc>
          <w:tcPr>
            <w:tcW w:w="2519" w:type="dxa"/>
            <w:tcBorders>
              <w:top w:val="nil"/>
              <w:left w:val="nil"/>
              <w:bottom w:val="single" w:sz="8" w:space="0" w:color="9CC2E5"/>
              <w:right w:val="single" w:sz="8" w:space="0" w:color="9CC2E5"/>
            </w:tcBorders>
            <w:shd w:val="clear" w:color="auto" w:fill="auto"/>
            <w:vAlign w:val="center"/>
          </w:tcPr>
          <w:p w14:paraId="3EE48C44"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$2.85</w:t>
            </w:r>
          </w:p>
        </w:tc>
      </w:tr>
      <w:tr w:rsidR="00C705BD" w:rsidRPr="0066759A" w14:paraId="01FE93F1" w14:textId="77777777" w:rsidTr="009913ED">
        <w:trPr>
          <w:trHeight w:val="372"/>
        </w:trPr>
        <w:tc>
          <w:tcPr>
            <w:tcW w:w="4619" w:type="dxa"/>
            <w:tcBorders>
              <w:top w:val="nil"/>
              <w:left w:val="single" w:sz="8" w:space="0" w:color="9CC2E5"/>
              <w:bottom w:val="single" w:sz="8" w:space="0" w:color="9CC2E5"/>
              <w:right w:val="single" w:sz="8" w:space="0" w:color="9CC2E5"/>
            </w:tcBorders>
            <w:shd w:val="clear" w:color="auto" w:fill="auto"/>
            <w:vAlign w:val="center"/>
          </w:tcPr>
          <w:p w14:paraId="6E34BAE4" w14:textId="77777777" w:rsidR="00C705BD" w:rsidRPr="0066759A" w:rsidRDefault="00C705BD" w:rsidP="009913ED">
            <w:pPr>
              <w:spacing w:after="0" w:line="240" w:lineRule="auto"/>
              <w:rPr>
                <w:rFonts w:cs="Arial"/>
                <w:b/>
                <w:bCs/>
                <w:sz w:val="20"/>
                <w:lang w:eastAsia="en-AU"/>
              </w:rPr>
            </w:pPr>
            <w:r w:rsidRPr="0066759A">
              <w:rPr>
                <w:rFonts w:cs="Arial"/>
                <w:b/>
                <w:bCs/>
                <w:color w:val="000000"/>
                <w:sz w:val="20"/>
                <w:lang w:eastAsia="en-AU"/>
              </w:rPr>
              <w:t>D32s v3</w:t>
            </w:r>
            <w:r w:rsidRPr="0066759A">
              <w:rPr>
                <w:rFonts w:cs="Arial"/>
                <w:color w:val="000000"/>
                <w:sz w:val="20"/>
                <w:lang w:eastAsia="en-AU"/>
              </w:rPr>
              <w:t xml:space="preserve"> (32 vCPU, 128 GB RAM)</w:t>
            </w:r>
          </w:p>
        </w:tc>
        <w:tc>
          <w:tcPr>
            <w:tcW w:w="2938" w:type="dxa"/>
            <w:tcBorders>
              <w:top w:val="nil"/>
              <w:left w:val="nil"/>
              <w:bottom w:val="single" w:sz="8" w:space="0" w:color="9CC2E5"/>
              <w:right w:val="single" w:sz="8" w:space="0" w:color="9CC2E5"/>
            </w:tcBorders>
            <w:shd w:val="clear" w:color="000000" w:fill="DEEAF6"/>
            <w:noWrap/>
          </w:tcPr>
          <w:p w14:paraId="77F2ACB1" w14:textId="651FA1E3" w:rsidR="00C705BD" w:rsidRPr="0066759A" w:rsidRDefault="00C705BD" w:rsidP="009913ED">
            <w:pPr>
              <w:spacing w:after="0" w:line="240" w:lineRule="auto"/>
              <w:jc w:val="right"/>
              <w:rPr>
                <w:rFonts w:cs="Arial"/>
                <w:sz w:val="20"/>
                <w:lang w:eastAsia="en-AU"/>
              </w:rPr>
            </w:pPr>
            <w:r w:rsidRPr="0066759A">
              <w:rPr>
                <w:rFonts w:cs="Arial"/>
                <w:color w:val="000000"/>
                <w:sz w:val="20"/>
                <w:lang w:eastAsia="en-AU"/>
              </w:rPr>
              <w:t>$4,15</w:t>
            </w:r>
            <w:r>
              <w:rPr>
                <w:rFonts w:cs="Arial"/>
                <w:color w:val="000000"/>
                <w:sz w:val="20"/>
                <w:lang w:eastAsia="en-AU"/>
              </w:rPr>
              <w:t>9</w:t>
            </w:r>
          </w:p>
        </w:tc>
        <w:tc>
          <w:tcPr>
            <w:tcW w:w="2519" w:type="dxa"/>
            <w:tcBorders>
              <w:top w:val="nil"/>
              <w:left w:val="nil"/>
              <w:bottom w:val="single" w:sz="8" w:space="0" w:color="9CC2E5"/>
              <w:right w:val="single" w:sz="8" w:space="0" w:color="9CC2E5"/>
            </w:tcBorders>
            <w:shd w:val="clear" w:color="000000" w:fill="DEEAF6"/>
            <w:vAlign w:val="center"/>
          </w:tcPr>
          <w:p w14:paraId="33D809D9"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$5.69</w:t>
            </w:r>
          </w:p>
        </w:tc>
      </w:tr>
      <w:tr w:rsidR="00C705BD" w:rsidRPr="0066759A" w14:paraId="692A2DE2" w14:textId="77777777" w:rsidTr="009913ED">
        <w:trPr>
          <w:trHeight w:val="316"/>
        </w:trPr>
        <w:tc>
          <w:tcPr>
            <w:tcW w:w="10077" w:type="dxa"/>
            <w:gridSpan w:val="3"/>
            <w:tcBorders>
              <w:top w:val="nil"/>
              <w:left w:val="single" w:sz="8" w:space="0" w:color="9CC2E5"/>
              <w:bottom w:val="single" w:sz="8" w:space="0" w:color="9CC2E5"/>
              <w:right w:val="single" w:sz="8" w:space="0" w:color="9CC2E5"/>
            </w:tcBorders>
          </w:tcPr>
          <w:p w14:paraId="1E7E2A51" w14:textId="77777777" w:rsidR="00C705BD" w:rsidRPr="0066759A" w:rsidRDefault="00C705BD" w:rsidP="009913ED">
            <w:pPr>
              <w:spacing w:after="0" w:line="240" w:lineRule="auto"/>
              <w:rPr>
                <w:rFonts w:cs="Arial"/>
                <w:color w:val="000000"/>
                <w:sz w:val="20"/>
                <w:lang w:eastAsia="en-AU"/>
              </w:rPr>
            </w:pPr>
            <w:r w:rsidRPr="00C705BD">
              <w:rPr>
                <w:rFonts w:cs="Arial"/>
                <w:b/>
                <w:color w:val="000000"/>
                <w:sz w:val="20"/>
                <w:lang w:eastAsia="en-AU"/>
              </w:rPr>
              <w:t>The below SKUs are recommended by Microsoft</w:t>
            </w:r>
            <w:r w:rsidRPr="0066759A">
              <w:rPr>
                <w:rFonts w:cs="Arial"/>
                <w:color w:val="000000"/>
                <w:sz w:val="20"/>
                <w:lang w:eastAsia="en-AU"/>
              </w:rPr>
              <w:t>.</w:t>
            </w:r>
          </w:p>
        </w:tc>
      </w:tr>
      <w:tr w:rsidR="00C705BD" w:rsidRPr="0066759A" w14:paraId="588751DB" w14:textId="77777777" w:rsidTr="009913ED">
        <w:trPr>
          <w:trHeight w:val="316"/>
        </w:trPr>
        <w:tc>
          <w:tcPr>
            <w:tcW w:w="4619" w:type="dxa"/>
            <w:tcBorders>
              <w:top w:val="nil"/>
              <w:left w:val="single" w:sz="8" w:space="0" w:color="9CC2E5"/>
              <w:bottom w:val="single" w:sz="8" w:space="0" w:color="9CC2E5"/>
              <w:right w:val="single" w:sz="8" w:space="0" w:color="9CC2E5"/>
            </w:tcBorders>
            <w:shd w:val="clear" w:color="auto" w:fill="auto"/>
            <w:vAlign w:val="center"/>
          </w:tcPr>
          <w:p w14:paraId="122F1A62" w14:textId="77777777" w:rsidR="00C705BD" w:rsidRPr="0066759A" w:rsidRDefault="00C705BD" w:rsidP="009913ED">
            <w:pPr>
              <w:spacing w:after="0" w:line="240" w:lineRule="auto"/>
              <w:rPr>
                <w:rFonts w:cs="Arial"/>
                <w:b/>
                <w:bCs/>
                <w:sz w:val="20"/>
                <w:lang w:eastAsia="en-AU"/>
              </w:rPr>
            </w:pPr>
            <w:r w:rsidRPr="0066759A">
              <w:rPr>
                <w:rFonts w:cs="Arial"/>
                <w:b/>
                <w:bCs/>
                <w:color w:val="000000"/>
                <w:sz w:val="20"/>
                <w:lang w:eastAsia="en-AU"/>
              </w:rPr>
              <w:t>DS11_v2</w:t>
            </w:r>
            <w:r w:rsidRPr="0066759A">
              <w:rPr>
                <w:rFonts w:cs="Arial"/>
                <w:color w:val="000000"/>
                <w:sz w:val="20"/>
                <w:lang w:eastAsia="en-AU"/>
              </w:rPr>
              <w:t xml:space="preserve"> (2 vCPU, 14 GB RAM)</w:t>
            </w:r>
          </w:p>
        </w:tc>
        <w:tc>
          <w:tcPr>
            <w:tcW w:w="2938" w:type="dxa"/>
            <w:tcBorders>
              <w:top w:val="nil"/>
              <w:left w:val="nil"/>
              <w:bottom w:val="single" w:sz="8" w:space="0" w:color="9CC2E5"/>
              <w:right w:val="single" w:sz="8" w:space="0" w:color="9CC2E5"/>
            </w:tcBorders>
            <w:shd w:val="clear" w:color="000000" w:fill="DEEAF6"/>
            <w:noWrap/>
          </w:tcPr>
          <w:p w14:paraId="3413EEEE" w14:textId="04B8EA9D" w:rsidR="00C705BD" w:rsidRPr="0066759A" w:rsidRDefault="00C705BD" w:rsidP="009913ED">
            <w:pPr>
              <w:spacing w:after="0" w:line="240" w:lineRule="auto"/>
              <w:jc w:val="right"/>
              <w:rPr>
                <w:rFonts w:cs="Arial"/>
                <w:sz w:val="20"/>
                <w:lang w:eastAsia="en-AU"/>
              </w:rPr>
            </w:pPr>
            <w:r w:rsidRPr="0066759A">
              <w:rPr>
                <w:rFonts w:cs="Arial"/>
                <w:sz w:val="20"/>
              </w:rPr>
              <w:t>$32</w:t>
            </w:r>
            <w:r>
              <w:rPr>
                <w:rFonts w:cs="Arial"/>
                <w:sz w:val="20"/>
              </w:rPr>
              <w:t>9</w:t>
            </w:r>
          </w:p>
        </w:tc>
        <w:tc>
          <w:tcPr>
            <w:tcW w:w="2519" w:type="dxa"/>
            <w:tcBorders>
              <w:top w:val="nil"/>
              <w:left w:val="nil"/>
              <w:bottom w:val="single" w:sz="8" w:space="0" w:color="9CC2E5"/>
              <w:right w:val="single" w:sz="8" w:space="0" w:color="9CC2E5"/>
            </w:tcBorders>
            <w:shd w:val="clear" w:color="000000" w:fill="DEEAF6"/>
            <w:vAlign w:val="center"/>
          </w:tcPr>
          <w:p w14:paraId="7BC1E551"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$0.46</w:t>
            </w:r>
          </w:p>
        </w:tc>
      </w:tr>
      <w:tr w:rsidR="00C705BD" w:rsidRPr="0066759A" w14:paraId="67D6ACE4" w14:textId="77777777" w:rsidTr="009913ED">
        <w:trPr>
          <w:trHeight w:val="316"/>
        </w:trPr>
        <w:tc>
          <w:tcPr>
            <w:tcW w:w="4619" w:type="dxa"/>
            <w:tcBorders>
              <w:top w:val="nil"/>
              <w:left w:val="single" w:sz="8" w:space="0" w:color="9CC2E5"/>
              <w:bottom w:val="single" w:sz="8" w:space="0" w:color="9CC2E5"/>
              <w:right w:val="single" w:sz="8" w:space="0" w:color="9CC2E5"/>
            </w:tcBorders>
            <w:shd w:val="clear" w:color="auto" w:fill="auto"/>
            <w:vAlign w:val="center"/>
          </w:tcPr>
          <w:p w14:paraId="5A5C1B18" w14:textId="77777777" w:rsidR="00C705BD" w:rsidRPr="0066759A" w:rsidRDefault="00C705BD" w:rsidP="009913ED">
            <w:pPr>
              <w:spacing w:after="0" w:line="240" w:lineRule="auto"/>
              <w:rPr>
                <w:rFonts w:cs="Arial"/>
                <w:b/>
                <w:bCs/>
                <w:sz w:val="20"/>
                <w:lang w:eastAsia="en-AU"/>
              </w:rPr>
            </w:pPr>
            <w:r w:rsidRPr="0066759A">
              <w:rPr>
                <w:rFonts w:cs="Arial"/>
                <w:b/>
                <w:bCs/>
                <w:color w:val="000000"/>
                <w:sz w:val="20"/>
                <w:lang w:eastAsia="en-AU"/>
              </w:rPr>
              <w:t>DS12_v2</w:t>
            </w:r>
            <w:r w:rsidRPr="0066759A">
              <w:rPr>
                <w:rFonts w:cs="Arial"/>
                <w:color w:val="000000"/>
                <w:sz w:val="20"/>
                <w:lang w:eastAsia="en-AU"/>
              </w:rPr>
              <w:t xml:space="preserve"> (4 vCPU, 28 GB RAM)</w:t>
            </w:r>
          </w:p>
        </w:tc>
        <w:tc>
          <w:tcPr>
            <w:tcW w:w="2938" w:type="dxa"/>
            <w:tcBorders>
              <w:top w:val="nil"/>
              <w:left w:val="nil"/>
              <w:bottom w:val="single" w:sz="8" w:space="0" w:color="9CC2E5"/>
              <w:right w:val="single" w:sz="8" w:space="0" w:color="9CC2E5"/>
            </w:tcBorders>
            <w:shd w:val="clear" w:color="auto" w:fill="auto"/>
            <w:noWrap/>
          </w:tcPr>
          <w:p w14:paraId="1A884E13" w14:textId="683B9CDA" w:rsidR="00C705BD" w:rsidRPr="0066759A" w:rsidRDefault="00C705BD" w:rsidP="009913ED">
            <w:pPr>
              <w:spacing w:after="0" w:line="240" w:lineRule="auto"/>
              <w:jc w:val="right"/>
              <w:rPr>
                <w:rFonts w:cs="Arial"/>
                <w:sz w:val="20"/>
                <w:lang w:eastAsia="en-AU"/>
              </w:rPr>
            </w:pPr>
            <w:r w:rsidRPr="0066759A">
              <w:rPr>
                <w:rFonts w:cs="Arial"/>
                <w:sz w:val="20"/>
              </w:rPr>
              <w:t>$657</w:t>
            </w:r>
          </w:p>
        </w:tc>
        <w:tc>
          <w:tcPr>
            <w:tcW w:w="2519" w:type="dxa"/>
            <w:tcBorders>
              <w:top w:val="nil"/>
              <w:left w:val="nil"/>
              <w:bottom w:val="single" w:sz="8" w:space="0" w:color="9CC2E5"/>
              <w:right w:val="single" w:sz="8" w:space="0" w:color="9CC2E5"/>
            </w:tcBorders>
            <w:shd w:val="clear" w:color="auto" w:fill="auto"/>
            <w:vAlign w:val="center"/>
          </w:tcPr>
          <w:p w14:paraId="7A27E705"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$0.90</w:t>
            </w:r>
          </w:p>
        </w:tc>
      </w:tr>
      <w:tr w:rsidR="00C705BD" w:rsidRPr="0066759A" w14:paraId="4639F901" w14:textId="77777777" w:rsidTr="009913ED">
        <w:trPr>
          <w:trHeight w:val="316"/>
        </w:trPr>
        <w:tc>
          <w:tcPr>
            <w:tcW w:w="4619" w:type="dxa"/>
            <w:tcBorders>
              <w:top w:val="nil"/>
              <w:left w:val="single" w:sz="8" w:space="0" w:color="9CC2E5"/>
              <w:bottom w:val="single" w:sz="8" w:space="0" w:color="9CC2E5"/>
              <w:right w:val="single" w:sz="8" w:space="0" w:color="9CC2E5"/>
            </w:tcBorders>
            <w:shd w:val="clear" w:color="auto" w:fill="auto"/>
            <w:vAlign w:val="center"/>
          </w:tcPr>
          <w:p w14:paraId="31B38D42" w14:textId="77777777" w:rsidR="00C705BD" w:rsidRPr="0066759A" w:rsidRDefault="00C705BD" w:rsidP="009913ED">
            <w:pPr>
              <w:spacing w:after="0" w:line="240" w:lineRule="auto"/>
              <w:rPr>
                <w:rFonts w:cs="Arial"/>
                <w:color w:val="000000"/>
                <w:sz w:val="20"/>
                <w:lang w:eastAsia="en-AU"/>
              </w:rPr>
            </w:pPr>
            <w:r w:rsidRPr="0066759A">
              <w:rPr>
                <w:rFonts w:cs="Arial"/>
                <w:b/>
                <w:bCs/>
                <w:color w:val="000000"/>
                <w:sz w:val="20"/>
                <w:lang w:eastAsia="en-AU"/>
              </w:rPr>
              <w:t>DS13_v2</w:t>
            </w:r>
            <w:r w:rsidRPr="0066759A">
              <w:rPr>
                <w:rFonts w:cs="Arial"/>
                <w:color w:val="000000"/>
                <w:sz w:val="20"/>
                <w:lang w:eastAsia="en-AU"/>
              </w:rPr>
              <w:t xml:space="preserve"> (8 vCPU, 56 GB RAM)</w:t>
            </w:r>
          </w:p>
        </w:tc>
        <w:tc>
          <w:tcPr>
            <w:tcW w:w="2938" w:type="dxa"/>
            <w:tcBorders>
              <w:top w:val="nil"/>
              <w:left w:val="nil"/>
              <w:bottom w:val="single" w:sz="8" w:space="0" w:color="9CC2E5"/>
              <w:right w:val="single" w:sz="8" w:space="0" w:color="9CC2E5"/>
            </w:tcBorders>
            <w:shd w:val="clear" w:color="000000" w:fill="DEEAF6"/>
            <w:noWrap/>
          </w:tcPr>
          <w:p w14:paraId="503EDC11" w14:textId="77777777" w:rsidR="00C705BD" w:rsidRPr="0066759A" w:rsidRDefault="00C705BD" w:rsidP="009913ED">
            <w:pPr>
              <w:spacing w:after="0" w:line="240" w:lineRule="auto"/>
              <w:jc w:val="right"/>
              <w:rPr>
                <w:rFonts w:cs="Arial"/>
                <w:sz w:val="20"/>
                <w:lang w:eastAsia="en-AU"/>
              </w:rPr>
            </w:pPr>
            <w:r w:rsidRPr="0066759A">
              <w:rPr>
                <w:rFonts w:cs="Arial"/>
                <w:sz w:val="20"/>
              </w:rPr>
              <w:t>$1,313</w:t>
            </w:r>
          </w:p>
        </w:tc>
        <w:tc>
          <w:tcPr>
            <w:tcW w:w="2519" w:type="dxa"/>
            <w:tcBorders>
              <w:top w:val="nil"/>
              <w:left w:val="nil"/>
              <w:bottom w:val="single" w:sz="8" w:space="0" w:color="9CC2E5"/>
              <w:right w:val="single" w:sz="8" w:space="0" w:color="9CC2E5"/>
            </w:tcBorders>
            <w:shd w:val="clear" w:color="000000" w:fill="DEEAF6"/>
            <w:vAlign w:val="center"/>
          </w:tcPr>
          <w:p w14:paraId="168D4FC5"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$1.79</w:t>
            </w:r>
          </w:p>
        </w:tc>
      </w:tr>
      <w:tr w:rsidR="00C705BD" w:rsidRPr="0066759A" w14:paraId="4D27FB84" w14:textId="77777777" w:rsidTr="009913ED">
        <w:trPr>
          <w:trHeight w:val="316"/>
        </w:trPr>
        <w:tc>
          <w:tcPr>
            <w:tcW w:w="4619" w:type="dxa"/>
            <w:tcBorders>
              <w:top w:val="nil"/>
              <w:left w:val="single" w:sz="8" w:space="0" w:color="9CC2E5"/>
              <w:bottom w:val="single" w:sz="8" w:space="0" w:color="9CC2E5"/>
              <w:right w:val="single" w:sz="8" w:space="0" w:color="9CC2E5"/>
            </w:tcBorders>
            <w:shd w:val="clear" w:color="auto" w:fill="auto"/>
            <w:vAlign w:val="center"/>
          </w:tcPr>
          <w:p w14:paraId="39127D4C" w14:textId="77777777" w:rsidR="00C705BD" w:rsidRPr="0066759A" w:rsidRDefault="00C705BD" w:rsidP="009913ED">
            <w:pPr>
              <w:spacing w:after="0" w:line="240" w:lineRule="auto"/>
              <w:rPr>
                <w:rFonts w:cs="Arial"/>
                <w:color w:val="000000"/>
                <w:sz w:val="20"/>
                <w:lang w:eastAsia="en-AU"/>
              </w:rPr>
            </w:pPr>
            <w:r w:rsidRPr="0066759A">
              <w:rPr>
                <w:rFonts w:cs="Arial"/>
                <w:b/>
                <w:bCs/>
                <w:color w:val="000000"/>
                <w:sz w:val="20"/>
                <w:lang w:eastAsia="en-AU"/>
              </w:rPr>
              <w:t>DS14_v2</w:t>
            </w:r>
            <w:r w:rsidRPr="0066759A">
              <w:rPr>
                <w:rFonts w:cs="Arial"/>
                <w:color w:val="000000"/>
                <w:sz w:val="20"/>
                <w:lang w:eastAsia="en-AU"/>
              </w:rPr>
              <w:t xml:space="preserve"> (16 vCPU, 112 GB RAM)</w:t>
            </w:r>
          </w:p>
        </w:tc>
        <w:tc>
          <w:tcPr>
            <w:tcW w:w="2938" w:type="dxa"/>
            <w:tcBorders>
              <w:top w:val="nil"/>
              <w:left w:val="nil"/>
              <w:bottom w:val="single" w:sz="8" w:space="0" w:color="9CC2E5"/>
              <w:right w:val="single" w:sz="8" w:space="0" w:color="9CC2E5"/>
            </w:tcBorders>
            <w:shd w:val="clear" w:color="auto" w:fill="auto"/>
            <w:noWrap/>
          </w:tcPr>
          <w:p w14:paraId="155D8F99" w14:textId="10B88B86" w:rsidR="00C705BD" w:rsidRPr="0066759A" w:rsidRDefault="00C705BD" w:rsidP="009913ED">
            <w:pPr>
              <w:spacing w:after="0" w:line="240" w:lineRule="auto"/>
              <w:jc w:val="right"/>
              <w:rPr>
                <w:rFonts w:cs="Arial"/>
                <w:sz w:val="20"/>
                <w:lang w:eastAsia="en-AU"/>
              </w:rPr>
            </w:pPr>
            <w:r w:rsidRPr="0066759A">
              <w:rPr>
                <w:rFonts w:cs="Arial"/>
                <w:sz w:val="20"/>
              </w:rPr>
              <w:t>$2,624</w:t>
            </w:r>
          </w:p>
        </w:tc>
        <w:tc>
          <w:tcPr>
            <w:tcW w:w="2519" w:type="dxa"/>
            <w:tcBorders>
              <w:top w:val="nil"/>
              <w:left w:val="nil"/>
              <w:bottom w:val="single" w:sz="8" w:space="0" w:color="9CC2E5"/>
              <w:right w:val="single" w:sz="8" w:space="0" w:color="9CC2E5"/>
            </w:tcBorders>
            <w:shd w:val="clear" w:color="auto" w:fill="auto"/>
            <w:vAlign w:val="center"/>
          </w:tcPr>
          <w:p w14:paraId="415AA2E5"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$3.60</w:t>
            </w:r>
          </w:p>
        </w:tc>
      </w:tr>
      <w:tr w:rsidR="00C705BD" w:rsidRPr="0066759A" w14:paraId="533BCA5E" w14:textId="77777777" w:rsidTr="009913ED">
        <w:trPr>
          <w:trHeight w:val="316"/>
        </w:trPr>
        <w:tc>
          <w:tcPr>
            <w:tcW w:w="4619" w:type="dxa"/>
            <w:tcBorders>
              <w:top w:val="nil"/>
              <w:left w:val="single" w:sz="8" w:space="0" w:color="9CC2E5"/>
              <w:bottom w:val="single" w:sz="8" w:space="0" w:color="9CC2E5"/>
              <w:right w:val="single" w:sz="8" w:space="0" w:color="9CC2E5"/>
            </w:tcBorders>
            <w:shd w:val="clear" w:color="auto" w:fill="auto"/>
            <w:vAlign w:val="center"/>
          </w:tcPr>
          <w:p w14:paraId="11E8C601" w14:textId="77777777" w:rsidR="00C705BD" w:rsidRPr="0066759A" w:rsidRDefault="00C705BD" w:rsidP="009913ED">
            <w:pPr>
              <w:spacing w:after="0" w:line="240" w:lineRule="auto"/>
              <w:rPr>
                <w:rFonts w:cs="Arial"/>
                <w:color w:val="000000"/>
                <w:sz w:val="20"/>
                <w:lang w:eastAsia="en-AU"/>
              </w:rPr>
            </w:pPr>
            <w:r w:rsidRPr="0066759A">
              <w:rPr>
                <w:rFonts w:cs="Arial"/>
                <w:b/>
                <w:bCs/>
                <w:color w:val="000000"/>
                <w:sz w:val="20"/>
                <w:lang w:eastAsia="en-AU"/>
              </w:rPr>
              <w:t>DS15_v2</w:t>
            </w:r>
            <w:r w:rsidRPr="0066759A">
              <w:rPr>
                <w:rFonts w:cs="Arial"/>
                <w:color w:val="000000"/>
                <w:sz w:val="20"/>
                <w:lang w:eastAsia="en-AU"/>
              </w:rPr>
              <w:t xml:space="preserve"> (20 vCPU, 140 GB RAM)</w:t>
            </w:r>
          </w:p>
        </w:tc>
        <w:tc>
          <w:tcPr>
            <w:tcW w:w="2938" w:type="dxa"/>
            <w:tcBorders>
              <w:top w:val="nil"/>
              <w:left w:val="nil"/>
              <w:bottom w:val="single" w:sz="8" w:space="0" w:color="9CC2E5"/>
              <w:right w:val="single" w:sz="8" w:space="0" w:color="9CC2E5"/>
            </w:tcBorders>
            <w:shd w:val="clear" w:color="000000" w:fill="DEEAF6"/>
            <w:noWrap/>
          </w:tcPr>
          <w:p w14:paraId="2A00E00B" w14:textId="4C528BE8" w:rsidR="00C705BD" w:rsidRPr="0066759A" w:rsidRDefault="00C705BD" w:rsidP="009913ED">
            <w:pPr>
              <w:spacing w:after="0" w:line="240" w:lineRule="auto"/>
              <w:jc w:val="right"/>
              <w:rPr>
                <w:rFonts w:cs="Arial"/>
                <w:sz w:val="20"/>
                <w:lang w:eastAsia="en-AU"/>
              </w:rPr>
            </w:pPr>
            <w:r w:rsidRPr="0066759A">
              <w:rPr>
                <w:rFonts w:cs="Arial"/>
                <w:sz w:val="20"/>
              </w:rPr>
              <w:t>$3,28</w:t>
            </w:r>
            <w:r>
              <w:rPr>
                <w:rFonts w:cs="Arial"/>
                <w:sz w:val="20"/>
              </w:rPr>
              <w:t>2</w:t>
            </w:r>
          </w:p>
        </w:tc>
        <w:tc>
          <w:tcPr>
            <w:tcW w:w="2519" w:type="dxa"/>
            <w:tcBorders>
              <w:top w:val="nil"/>
              <w:left w:val="nil"/>
              <w:bottom w:val="single" w:sz="8" w:space="0" w:color="9CC2E5"/>
              <w:right w:val="single" w:sz="8" w:space="0" w:color="9CC2E5"/>
            </w:tcBorders>
            <w:shd w:val="clear" w:color="000000" w:fill="DEEAF6"/>
            <w:vAlign w:val="center"/>
          </w:tcPr>
          <w:p w14:paraId="7E9FCB00" w14:textId="77777777" w:rsidR="00C705BD" w:rsidRPr="0066759A" w:rsidRDefault="00C705BD" w:rsidP="009913ED">
            <w:pPr>
              <w:spacing w:after="0" w:line="240" w:lineRule="auto"/>
              <w:jc w:val="right"/>
              <w:rPr>
                <w:rFonts w:cs="Arial"/>
                <w:color w:val="000000"/>
                <w:sz w:val="20"/>
                <w:lang w:eastAsia="en-AU"/>
              </w:rPr>
            </w:pPr>
            <w:r w:rsidRPr="0066759A">
              <w:rPr>
                <w:rFonts w:cs="Arial"/>
                <w:color w:val="000000"/>
                <w:sz w:val="20"/>
              </w:rPr>
              <w:t>$4.50</w:t>
            </w:r>
          </w:p>
        </w:tc>
      </w:tr>
      <w:bookmarkEnd w:id="5"/>
    </w:tbl>
    <w:p w14:paraId="152A0164" w14:textId="001568D6" w:rsidR="004B5AEC" w:rsidRDefault="004B5AEC" w:rsidP="004B5AEC">
      <w:pPr>
        <w:pStyle w:val="Body"/>
        <w:spacing w:after="0"/>
      </w:pPr>
    </w:p>
    <w:p w14:paraId="50637C35" w14:textId="77777777" w:rsidR="004B5AEC" w:rsidRDefault="004B5AEC">
      <w:pPr>
        <w:spacing w:after="0" w:line="240" w:lineRule="auto"/>
        <w:rPr>
          <w:rFonts w:eastAsia="Times"/>
        </w:rPr>
      </w:pPr>
      <w:r>
        <w:br w:type="page"/>
      </w:r>
    </w:p>
    <w:p w14:paraId="668B10EE" w14:textId="77777777" w:rsidR="00F32368" w:rsidRDefault="00F32368" w:rsidP="004B5AEC">
      <w:pPr>
        <w:pStyle w:val="Body"/>
        <w:spacing w:after="0"/>
      </w:pPr>
    </w:p>
    <w:p w14:paraId="10C9740C" w14:textId="77777777" w:rsidR="004B5AEC" w:rsidRPr="0055119B" w:rsidRDefault="004B5AEC" w:rsidP="004B5AEC">
      <w:pPr>
        <w:pStyle w:val="Accessibilitypara"/>
        <w:pBdr>
          <w:top w:val="single" w:sz="4" w:space="1" w:color="auto"/>
          <w:left w:val="single" w:sz="4" w:space="4" w:color="auto"/>
          <w:bottom w:val="single" w:sz="4" w:space="1" w:color="auto"/>
          <w:right w:val="single" w:sz="4" w:space="4" w:color="auto"/>
        </w:pBdr>
        <w:spacing w:after="0" w:line="240" w:lineRule="auto"/>
      </w:pPr>
      <w:bookmarkStart w:id="6" w:name="_Hlk37240926"/>
      <w:r w:rsidRPr="0055119B">
        <w:t>To receive this document in another format</w:t>
      </w:r>
      <w:r>
        <w:t>,</w:t>
      </w:r>
      <w:r w:rsidRPr="0055119B">
        <w:t xml:space="preserve"> email </w:t>
      </w:r>
      <w:r>
        <w:rPr>
          <w:color w:val="004C97"/>
        </w:rPr>
        <w:t>cvdl@health.vic.gov.au</w:t>
      </w:r>
    </w:p>
    <w:p w14:paraId="524161C1" w14:textId="77777777" w:rsidR="004B5AEC" w:rsidRDefault="004B5AEC" w:rsidP="004B5AEC">
      <w:pPr>
        <w:pStyle w:val="Imprint"/>
        <w:pBdr>
          <w:top w:val="single" w:sz="4" w:space="1" w:color="auto"/>
          <w:left w:val="single" w:sz="4" w:space="4" w:color="auto"/>
          <w:bottom w:val="single" w:sz="4" w:space="1" w:color="auto"/>
          <w:right w:val="single" w:sz="4" w:space="4" w:color="auto"/>
        </w:pBdr>
      </w:pPr>
    </w:p>
    <w:p w14:paraId="1B759E25" w14:textId="6D618BE9" w:rsidR="004B5AEC" w:rsidRPr="0055119B" w:rsidRDefault="004B5AEC" w:rsidP="004B5AEC">
      <w:pPr>
        <w:pStyle w:val="Imprint"/>
        <w:pBdr>
          <w:top w:val="single" w:sz="4" w:space="1" w:color="auto"/>
          <w:left w:val="single" w:sz="4" w:space="4" w:color="auto"/>
          <w:bottom w:val="single" w:sz="4" w:space="1" w:color="auto"/>
          <w:right w:val="single" w:sz="4" w:space="4" w:color="auto"/>
        </w:pBdr>
      </w:pPr>
      <w:r w:rsidRPr="0055119B">
        <w:t>Authorised and published by the Victorian Government, 1 Treasury Place, Melbourne.</w:t>
      </w:r>
    </w:p>
    <w:p w14:paraId="0A40A43F" w14:textId="77777777" w:rsidR="004B5AEC" w:rsidRPr="0055119B" w:rsidRDefault="004B5AEC" w:rsidP="004B5AEC">
      <w:pPr>
        <w:pStyle w:val="Imprint"/>
        <w:pBdr>
          <w:top w:val="single" w:sz="4" w:space="1" w:color="auto"/>
          <w:left w:val="single" w:sz="4" w:space="4" w:color="auto"/>
          <w:bottom w:val="single" w:sz="4" w:space="1" w:color="auto"/>
          <w:right w:val="single" w:sz="4" w:space="4" w:color="auto"/>
        </w:pBdr>
      </w:pPr>
      <w:r w:rsidRPr="0055119B">
        <w:t xml:space="preserve">© State of Victoria, Australia, </w:t>
      </w:r>
      <w:r w:rsidRPr="001E2A36">
        <w:t>Department of Health</w:t>
      </w:r>
      <w:r w:rsidRPr="0055119B">
        <w:t xml:space="preserve">, </w:t>
      </w:r>
      <w:r w:rsidRPr="000F41DD">
        <w:rPr>
          <w:color w:val="auto"/>
        </w:rPr>
        <w:t>April 2021.</w:t>
      </w:r>
    </w:p>
    <w:p w14:paraId="6CE9BE34" w14:textId="77777777" w:rsidR="004B5AEC" w:rsidRPr="000F41DD" w:rsidRDefault="004B5AEC" w:rsidP="004B5AEC">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5E32CF5E" w14:textId="77777777" w:rsidR="004B5AEC" w:rsidRPr="000F41DD" w:rsidRDefault="004B5AEC" w:rsidP="004B5AEC">
      <w:pPr>
        <w:pStyle w:val="Imprint"/>
        <w:pBdr>
          <w:top w:val="single" w:sz="4" w:space="1" w:color="auto"/>
          <w:left w:val="single" w:sz="4" w:space="4" w:color="auto"/>
          <w:bottom w:val="single" w:sz="4" w:space="1" w:color="auto"/>
          <w:right w:val="single" w:sz="4" w:space="4" w:color="auto"/>
        </w:pBdr>
        <w:rPr>
          <w:color w:val="auto"/>
        </w:rPr>
      </w:pPr>
      <w:r w:rsidRPr="000F41DD">
        <w:rPr>
          <w:color w:val="auto"/>
        </w:rPr>
        <w:t>In this document, ‘Aboriginal’ refers to both Aboriginal and Torres Strait Islander people. ‘Indigenous’ or ‘Koori/</w:t>
      </w:r>
      <w:proofErr w:type="spellStart"/>
      <w:r w:rsidRPr="000F41DD">
        <w:rPr>
          <w:color w:val="auto"/>
        </w:rPr>
        <w:t>Koorie</w:t>
      </w:r>
      <w:proofErr w:type="spellEnd"/>
      <w:r w:rsidRPr="000F41DD">
        <w:rPr>
          <w:color w:val="auto"/>
        </w:rPr>
        <w:t>’ is retained when part of the title of a report, program or quotation.</w:t>
      </w:r>
    </w:p>
    <w:p w14:paraId="5E4A3A5D" w14:textId="28EC716B" w:rsidR="004B5AEC" w:rsidRDefault="004B5AEC" w:rsidP="004B5AEC">
      <w:pPr>
        <w:pStyle w:val="Imprint"/>
        <w:pBdr>
          <w:top w:val="single" w:sz="4" w:space="1" w:color="auto"/>
          <w:left w:val="single" w:sz="4" w:space="4" w:color="auto"/>
          <w:bottom w:val="single" w:sz="4" w:space="1" w:color="auto"/>
          <w:right w:val="single" w:sz="4" w:space="4" w:color="auto"/>
        </w:pBdr>
      </w:pPr>
      <w:r w:rsidRPr="0055119B">
        <w:t xml:space="preserve">Available at </w:t>
      </w:r>
      <w:hyperlink r:id="rId17" w:history="1">
        <w:r w:rsidRPr="00123B7A">
          <w:rPr>
            <w:rStyle w:val="Hyperlink"/>
          </w:rPr>
          <w:t>https://www2.health.vic.gov.au/cvdl</w:t>
        </w:r>
      </w:hyperlink>
    </w:p>
    <w:p w14:paraId="11C7D650" w14:textId="77777777" w:rsidR="008B6A3B" w:rsidRDefault="008B6A3B" w:rsidP="004B5AEC">
      <w:pPr>
        <w:pStyle w:val="Imprint"/>
        <w:pBdr>
          <w:top w:val="single" w:sz="4" w:space="1" w:color="auto"/>
          <w:left w:val="single" w:sz="4" w:space="4" w:color="auto"/>
          <w:bottom w:val="single" w:sz="4" w:space="1" w:color="auto"/>
          <w:right w:val="single" w:sz="4" w:space="4" w:color="auto"/>
        </w:pBdr>
      </w:pPr>
    </w:p>
    <w:bookmarkEnd w:id="6"/>
    <w:p w14:paraId="5223AF34" w14:textId="77777777" w:rsidR="004B5AEC" w:rsidRPr="00F32368" w:rsidRDefault="004B5AEC" w:rsidP="00F32368">
      <w:pPr>
        <w:pStyle w:val="Body"/>
      </w:pPr>
    </w:p>
    <w:sectPr w:rsidR="004B5AEC" w:rsidRPr="00F3236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7236" w14:textId="77777777" w:rsidR="001F6E00" w:rsidRDefault="001F6E00">
      <w:r>
        <w:separator/>
      </w:r>
    </w:p>
  </w:endnote>
  <w:endnote w:type="continuationSeparator" w:id="0">
    <w:p w14:paraId="4F0BA952" w14:textId="77777777" w:rsidR="001F6E00" w:rsidRDefault="001F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24D1" w14:textId="77777777" w:rsidR="00FF3429" w:rsidRDefault="00FF3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AEA0A" w14:textId="315752EF" w:rsidR="00E261B3" w:rsidRPr="00F65AA9" w:rsidRDefault="000C21CA" w:rsidP="00F84FA0">
    <w:pPr>
      <w:pStyle w:val="Footer"/>
    </w:pPr>
    <w:r>
      <w:rPr>
        <w:noProof/>
        <w:lang w:eastAsia="en-AU"/>
      </w:rPr>
      <w:drawing>
        <wp:anchor distT="0" distB="0" distL="114300" distR="114300" simplePos="0" relativeHeight="251676160"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5A846309" wp14:editId="2E74E17A">
              <wp:simplePos x="0" y="0"/>
              <wp:positionH relativeFrom="page">
                <wp:posOffset>0</wp:posOffset>
              </wp:positionH>
              <wp:positionV relativeFrom="page">
                <wp:posOffset>10011410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3EAF1FE0"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788.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" o:allowincell="f" filled="f" stroked="f" strokeweight=".5pt">
              <v:textbox inset=",0,,0">
                <w:txbxContent>
                  <w:p w14:paraId="04306411" w14:textId="3EAF1FE0"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r w:rsidR="00FC7FB6">
      <w:rPr>
        <w:noProof/>
        <w:lang w:eastAsia="en-AU"/>
      </w:rPr>
      <w:drawing>
        <wp:anchor distT="0" distB="0" distL="114300" distR="114300" simplePos="0" relativeHeight="251674112"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C9B3"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5F66AEE3"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54A82AA6" w14:textId="5F66AEE3"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4BB42" w14:textId="77777777" w:rsidR="001F6E00" w:rsidRDefault="001F6E00" w:rsidP="002862F1">
      <w:pPr>
        <w:spacing w:before="120"/>
      </w:pPr>
      <w:r>
        <w:separator/>
      </w:r>
    </w:p>
  </w:footnote>
  <w:footnote w:type="continuationSeparator" w:id="0">
    <w:p w14:paraId="09C53F28" w14:textId="77777777" w:rsidR="001F6E00" w:rsidRDefault="001F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BB2D" w14:textId="77777777" w:rsidR="00FF3429" w:rsidRDefault="00FF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D9C4" w14:textId="77777777" w:rsidR="00FF3429" w:rsidRDefault="00FF34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8BC9" w14:textId="3E163B54" w:rsidR="00E261B3" w:rsidRPr="0051568D" w:rsidRDefault="00FC7FB6" w:rsidP="0011701A">
    <w:pPr>
      <w:pStyle w:val="Header"/>
    </w:pPr>
    <w:r>
      <w:rPr>
        <w:noProof/>
      </w:rPr>
      <w:drawing>
        <wp:anchor distT="0" distB="0" distL="114300" distR="114300" simplePos="0" relativeHeight="251675136"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633879">
      <w:t>Virtual Machine access model</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5FDC"/>
    <w:rsid w:val="0008508E"/>
    <w:rsid w:val="00087951"/>
    <w:rsid w:val="0009113B"/>
    <w:rsid w:val="00093402"/>
    <w:rsid w:val="00094DA3"/>
    <w:rsid w:val="00096CD1"/>
    <w:rsid w:val="00097EB4"/>
    <w:rsid w:val="000A012C"/>
    <w:rsid w:val="000A0EB9"/>
    <w:rsid w:val="000A186C"/>
    <w:rsid w:val="000A1EA4"/>
    <w:rsid w:val="000A1EFC"/>
    <w:rsid w:val="000A2476"/>
    <w:rsid w:val="000A641A"/>
    <w:rsid w:val="000B3EDB"/>
    <w:rsid w:val="000B543D"/>
    <w:rsid w:val="000B55F9"/>
    <w:rsid w:val="000B5BF7"/>
    <w:rsid w:val="000B6BC8"/>
    <w:rsid w:val="000C0303"/>
    <w:rsid w:val="000C21CA"/>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00"/>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6820"/>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6437"/>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6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5AEC"/>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61BC6"/>
    <w:rsid w:val="00572031"/>
    <w:rsid w:val="00572282"/>
    <w:rsid w:val="00573CE3"/>
    <w:rsid w:val="00576E84"/>
    <w:rsid w:val="00580394"/>
    <w:rsid w:val="005809CD"/>
    <w:rsid w:val="00582B8C"/>
    <w:rsid w:val="0058757E"/>
    <w:rsid w:val="005948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2470"/>
    <w:rsid w:val="0062408D"/>
    <w:rsid w:val="006240CC"/>
    <w:rsid w:val="00624940"/>
    <w:rsid w:val="006254F8"/>
    <w:rsid w:val="00627DA7"/>
    <w:rsid w:val="00630DA4"/>
    <w:rsid w:val="00632597"/>
    <w:rsid w:val="00633879"/>
    <w:rsid w:val="006358B4"/>
    <w:rsid w:val="006419AA"/>
    <w:rsid w:val="00643EBD"/>
    <w:rsid w:val="00644B1F"/>
    <w:rsid w:val="00644B7E"/>
    <w:rsid w:val="006454E6"/>
    <w:rsid w:val="00646235"/>
    <w:rsid w:val="00646A68"/>
    <w:rsid w:val="006505BD"/>
    <w:rsid w:val="006508EA"/>
    <w:rsid w:val="0065092E"/>
    <w:rsid w:val="006557A7"/>
    <w:rsid w:val="00656290"/>
    <w:rsid w:val="006608D8"/>
    <w:rsid w:val="00660A41"/>
    <w:rsid w:val="006621D7"/>
    <w:rsid w:val="0066302A"/>
    <w:rsid w:val="00667770"/>
    <w:rsid w:val="00670597"/>
    <w:rsid w:val="006706D0"/>
    <w:rsid w:val="00677574"/>
    <w:rsid w:val="0068454C"/>
    <w:rsid w:val="00691B62"/>
    <w:rsid w:val="006933B5"/>
    <w:rsid w:val="00693D14"/>
    <w:rsid w:val="00696935"/>
    <w:rsid w:val="00696F27"/>
    <w:rsid w:val="006A18C2"/>
    <w:rsid w:val="006A3383"/>
    <w:rsid w:val="006B077C"/>
    <w:rsid w:val="006B6803"/>
    <w:rsid w:val="006D0F16"/>
    <w:rsid w:val="006D2A3F"/>
    <w:rsid w:val="006D2FBC"/>
    <w:rsid w:val="006D7093"/>
    <w:rsid w:val="006E0541"/>
    <w:rsid w:val="006E138B"/>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97D9C"/>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25CF6"/>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2EE4"/>
    <w:rsid w:val="008B4D3D"/>
    <w:rsid w:val="008B57C7"/>
    <w:rsid w:val="008B6A3B"/>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06F8C"/>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4EA2"/>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483D"/>
    <w:rsid w:val="00AA63D4"/>
    <w:rsid w:val="00AB06E8"/>
    <w:rsid w:val="00AB1CD3"/>
    <w:rsid w:val="00AB352F"/>
    <w:rsid w:val="00AC1701"/>
    <w:rsid w:val="00AC274B"/>
    <w:rsid w:val="00AC4764"/>
    <w:rsid w:val="00AC6D36"/>
    <w:rsid w:val="00AD0CBA"/>
    <w:rsid w:val="00AD177A"/>
    <w:rsid w:val="00AD26E2"/>
    <w:rsid w:val="00AD6440"/>
    <w:rsid w:val="00AD784C"/>
    <w:rsid w:val="00AE126A"/>
    <w:rsid w:val="00AE1BAE"/>
    <w:rsid w:val="00AE3005"/>
    <w:rsid w:val="00AE3BD5"/>
    <w:rsid w:val="00AE59A0"/>
    <w:rsid w:val="00AE7B64"/>
    <w:rsid w:val="00AF0C57"/>
    <w:rsid w:val="00AF26F3"/>
    <w:rsid w:val="00AF5F04"/>
    <w:rsid w:val="00B00672"/>
    <w:rsid w:val="00B01540"/>
    <w:rsid w:val="00B01B4D"/>
    <w:rsid w:val="00B06571"/>
    <w:rsid w:val="00B0682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05BD"/>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08AC"/>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6CA7"/>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3429"/>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9E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cvdl" TargetMode="External"/><Relationship Id="rId2" Type="http://schemas.openxmlformats.org/officeDocument/2006/relationships/numbering" Target="numbering.xml"/><Relationship Id="rId16" Type="http://schemas.openxmlformats.org/officeDocument/2006/relationships/hyperlink" Target="mailto:cvdl@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0E5D-FBBD-42C2-9D43-49A67055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2021-04-28T05:48:00Z</dcterms:created>
  <dcterms:modified xsi:type="dcterms:W3CDTF">2021-04-28T05:48:00Z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2021-04-28T05:48:10Z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7ea01ccc-fed8-4729-85fa-35c64db5042e</vt:lpwstr>
  </property>
  <property fmtid="{D5CDD505-2E9C-101B-9397-08002B2CF9AE}" pid="8" name="MSIP_Label_efdf5488-3066-4b6c-8fea-9472b8a1f34c_ContentBits">
    <vt:lpwstr>0</vt:lpwstr>
  </property>
</Properties>
</file>